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November 27, 2024</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333-194056</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333-206729</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333-213683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333-216839</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333-228876</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333-263869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333-194056</w:t>
      </w:r>
    </w:p>
    <w:p>
      <w:pPr>
        <w:spacing w:after="0" w:line="31" w:lineRule="exact"/>
        <w:rPr>
          <w:sz w:val="24"/>
          <w:szCs w:val="24"/>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333-206729</w:t>
      </w:r>
    </w:p>
    <w:p>
      <w:pPr>
        <w:spacing w:after="0" w:line="9" w:lineRule="exact"/>
        <w:rPr>
          <w:sz w:val="24"/>
          <w:szCs w:val="24"/>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333-213683</w:t>
      </w:r>
    </w:p>
    <w:p>
      <w:pPr>
        <w:spacing w:after="0" w:line="9" w:lineRule="exact"/>
        <w:rPr>
          <w:sz w:val="24"/>
          <w:szCs w:val="24"/>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333-216839</w:t>
      </w:r>
    </w:p>
    <w:p>
      <w:pPr>
        <w:spacing w:after="0" w:line="9" w:lineRule="exact"/>
        <w:rPr>
          <w:sz w:val="24"/>
          <w:szCs w:val="24"/>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333-228876</w:t>
      </w:r>
    </w:p>
    <w:p>
      <w:pPr>
        <w:spacing w:after="0" w:line="9" w:lineRule="exact"/>
        <w:rPr>
          <w:sz w:val="24"/>
          <w:szCs w:val="24"/>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333-263869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Eagle Pharmaceuticals,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040" w:type="dxa"/>
            <w:vAlign w:val="bottom"/>
          </w:tcPr>
          <w:p>
            <w:pPr>
              <w:ind w:left="246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7200" w:type="dxa"/>
            <w:vAlign w:val="bottom"/>
          </w:tcPr>
          <w:p>
            <w:pPr>
              <w:jc w:val="center"/>
              <w:ind w:left="1490"/>
              <w:spacing w:after="0"/>
              <w:rPr>
                <w:sz w:val="20"/>
                <w:szCs w:val="20"/>
                <w:color w:val="auto"/>
              </w:rPr>
            </w:pPr>
            <w:r>
              <w:rPr>
                <w:rFonts w:ascii="Times New Roman" w:cs="Times New Roman" w:eastAsia="Times New Roman" w:hAnsi="Times New Roman"/>
                <w:sz w:val="18"/>
                <w:szCs w:val="18"/>
                <w:b w:val="1"/>
                <w:bCs w:val="1"/>
                <w:color w:val="auto"/>
                <w:w w:val="98"/>
              </w:rPr>
              <w:t>20-8179278</w:t>
            </w:r>
          </w:p>
        </w:tc>
      </w:tr>
      <w:tr>
        <w:trPr>
          <w:trHeight w:val="220"/>
        </w:trPr>
        <w:tc>
          <w:tcPr>
            <w:tcW w:w="4040" w:type="dxa"/>
            <w:vAlign w:val="bottom"/>
          </w:tcPr>
          <w:p>
            <w:pPr>
              <w:ind w:left="17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State or other jurisdiction of</w:t>
            </w:r>
          </w:p>
        </w:tc>
        <w:tc>
          <w:tcPr>
            <w:tcW w:w="7200" w:type="dxa"/>
            <w:vAlign w:val="bottom"/>
          </w:tcPr>
          <w:p>
            <w:pPr>
              <w:jc w:val="center"/>
              <w:ind w:left="145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404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7200" w:type="dxa"/>
            <w:vAlign w:val="bottom"/>
          </w:tcPr>
          <w:p>
            <w:pPr>
              <w:jc w:val="center"/>
              <w:ind w:left="149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4040" w:type="dxa"/>
            <w:vAlign w:val="bottom"/>
          </w:tcPr>
          <w:p>
            <w:pPr>
              <w:spacing w:after="0"/>
              <w:rPr>
                <w:sz w:val="24"/>
                <w:szCs w:val="24"/>
                <w:color w:val="auto"/>
              </w:rPr>
            </w:pPr>
          </w:p>
        </w:tc>
        <w:tc>
          <w:tcPr>
            <w:tcW w:w="7200" w:type="dxa"/>
            <w:vAlign w:val="bottom"/>
          </w:tcPr>
          <w:p>
            <w:pPr>
              <w:jc w:val="center"/>
              <w:ind w:right="3990"/>
              <w:spacing w:after="0"/>
              <w:rPr>
                <w:sz w:val="20"/>
                <w:szCs w:val="20"/>
                <w:color w:val="auto"/>
              </w:rPr>
            </w:pPr>
            <w:r>
              <w:rPr>
                <w:rFonts w:ascii="Times New Roman" w:cs="Times New Roman" w:eastAsia="Times New Roman" w:hAnsi="Times New Roman"/>
                <w:sz w:val="18"/>
                <w:szCs w:val="18"/>
                <w:b w:val="1"/>
                <w:bCs w:val="1"/>
                <w:color w:val="auto"/>
              </w:rPr>
              <w:t>50 Tice Boulevard, Suite 315</w:t>
            </w:r>
          </w:p>
        </w:tc>
      </w:tr>
      <w:tr>
        <w:trPr>
          <w:trHeight w:val="220"/>
        </w:trPr>
        <w:tc>
          <w:tcPr>
            <w:tcW w:w="4040" w:type="dxa"/>
            <w:vAlign w:val="bottom"/>
          </w:tcPr>
          <w:p>
            <w:pPr>
              <w:spacing w:after="0"/>
              <w:rPr>
                <w:sz w:val="19"/>
                <w:szCs w:val="19"/>
                <w:color w:val="auto"/>
              </w:rPr>
            </w:pPr>
          </w:p>
        </w:tc>
        <w:tc>
          <w:tcPr>
            <w:tcW w:w="7200" w:type="dxa"/>
            <w:vAlign w:val="bottom"/>
          </w:tcPr>
          <w:p>
            <w:pPr>
              <w:jc w:val="center"/>
              <w:ind w:right="3950"/>
              <w:spacing w:after="0"/>
              <w:rPr>
                <w:sz w:val="20"/>
                <w:szCs w:val="20"/>
                <w:color w:val="auto"/>
              </w:rPr>
            </w:pPr>
            <w:r>
              <w:rPr>
                <w:rFonts w:ascii="Times New Roman" w:cs="Times New Roman" w:eastAsia="Times New Roman" w:hAnsi="Times New Roman"/>
                <w:sz w:val="18"/>
                <w:szCs w:val="18"/>
                <w:b w:val="1"/>
                <w:bCs w:val="1"/>
                <w:color w:val="auto"/>
                <w:w w:val="99"/>
              </w:rPr>
              <w:t>Woodcliff Lake, New Jersey 07677</w:t>
            </w:r>
          </w:p>
        </w:tc>
      </w:tr>
      <w:tr>
        <w:trPr>
          <w:trHeight w:val="234"/>
        </w:trPr>
        <w:tc>
          <w:tcPr>
            <w:tcW w:w="4040" w:type="dxa"/>
            <w:vAlign w:val="bottom"/>
          </w:tcPr>
          <w:p>
            <w:pPr>
              <w:spacing w:after="0"/>
              <w:rPr>
                <w:sz w:val="20"/>
                <w:szCs w:val="20"/>
                <w:color w:val="auto"/>
              </w:rPr>
            </w:pPr>
          </w:p>
        </w:tc>
        <w:tc>
          <w:tcPr>
            <w:tcW w:w="7200" w:type="dxa"/>
            <w:vAlign w:val="bottom"/>
          </w:tcPr>
          <w:p>
            <w:pPr>
              <w:jc w:val="center"/>
              <w:ind w:right="3930"/>
              <w:spacing w:after="0"/>
              <w:rPr>
                <w:sz w:val="20"/>
                <w:szCs w:val="20"/>
                <w:color w:val="auto"/>
              </w:rPr>
            </w:pPr>
            <w:r>
              <w:rPr>
                <w:rFonts w:ascii="Times New Roman" w:cs="Times New Roman" w:eastAsia="Times New Roman" w:hAnsi="Times New Roman"/>
                <w:sz w:val="18"/>
                <w:szCs w:val="18"/>
                <w:color w:val="auto"/>
              </w:rPr>
              <w:t>(Address of Principal Executive Offices)</w:t>
            </w:r>
          </w:p>
        </w:tc>
      </w:tr>
      <w:tr>
        <w:trPr>
          <w:trHeight w:val="230"/>
        </w:trPr>
        <w:tc>
          <w:tcPr>
            <w:tcW w:w="4040" w:type="dxa"/>
            <w:vAlign w:val="bottom"/>
            <w:tcBorders>
              <w:bottom w:val="single" w:sz="8" w:color="auto"/>
            </w:tcBorders>
          </w:tcPr>
          <w:p>
            <w:pPr>
              <w:spacing w:after="0"/>
              <w:rPr>
                <w:sz w:val="19"/>
                <w:szCs w:val="19"/>
                <w:color w:val="auto"/>
              </w:rPr>
            </w:pPr>
          </w:p>
        </w:tc>
        <w:tc>
          <w:tcPr>
            <w:tcW w:w="7200" w:type="dxa"/>
            <w:vAlign w:val="bottom"/>
            <w:tcBorders>
              <w:bottom w:val="single" w:sz="8" w:color="auto"/>
            </w:tcBorders>
          </w:tcPr>
          <w:p>
            <w:pPr>
              <w:spacing w:after="0"/>
              <w:rPr>
                <w:sz w:val="19"/>
                <w:szCs w:val="19"/>
                <w:color w:val="auto"/>
              </w:rPr>
            </w:pPr>
          </w:p>
        </w:tc>
      </w:tr>
      <w:tr>
        <w:trPr>
          <w:trHeight w:val="444"/>
        </w:trPr>
        <w:tc>
          <w:tcPr>
            <w:tcW w:w="4040" w:type="dxa"/>
            <w:vAlign w:val="bottom"/>
          </w:tcPr>
          <w:p>
            <w:pPr>
              <w:spacing w:after="0"/>
              <w:rPr>
                <w:sz w:val="24"/>
                <w:szCs w:val="24"/>
                <w:color w:val="auto"/>
              </w:rPr>
            </w:pPr>
          </w:p>
        </w:tc>
        <w:tc>
          <w:tcPr>
            <w:tcW w:w="7200" w:type="dxa"/>
            <w:vAlign w:val="bottom"/>
          </w:tcPr>
          <w:p>
            <w:pPr>
              <w:jc w:val="center"/>
              <w:ind w:right="3930"/>
              <w:spacing w:after="0"/>
              <w:rPr>
                <w:sz w:val="20"/>
                <w:szCs w:val="20"/>
                <w:color w:val="auto"/>
              </w:rPr>
            </w:pPr>
            <w:r>
              <w:rPr>
                <w:rFonts w:ascii="Times New Roman" w:cs="Times New Roman" w:eastAsia="Times New Roman" w:hAnsi="Times New Roman"/>
                <w:sz w:val="18"/>
                <w:szCs w:val="18"/>
                <w:b w:val="1"/>
                <w:bCs w:val="1"/>
                <w:color w:val="auto"/>
                <w:w w:val="99"/>
              </w:rPr>
              <w:t>2007 Incentive Compensation Plan</w:t>
            </w:r>
          </w:p>
        </w:tc>
      </w:tr>
      <w:tr>
        <w:trPr>
          <w:trHeight w:val="216"/>
        </w:trPr>
        <w:tc>
          <w:tcPr>
            <w:tcW w:w="4040" w:type="dxa"/>
            <w:vAlign w:val="bottom"/>
          </w:tcPr>
          <w:p>
            <w:pPr>
              <w:spacing w:after="0"/>
              <w:rPr>
                <w:sz w:val="18"/>
                <w:szCs w:val="18"/>
                <w:color w:val="auto"/>
              </w:rPr>
            </w:pPr>
          </w:p>
        </w:tc>
        <w:tc>
          <w:tcPr>
            <w:tcW w:w="7200" w:type="dxa"/>
            <w:vAlign w:val="bottom"/>
          </w:tcPr>
          <w:p>
            <w:pPr>
              <w:jc w:val="center"/>
              <w:ind w:right="3950"/>
              <w:spacing w:after="0"/>
              <w:rPr>
                <w:sz w:val="20"/>
                <w:szCs w:val="20"/>
                <w:color w:val="auto"/>
              </w:rPr>
            </w:pPr>
            <w:r>
              <w:rPr>
                <w:rFonts w:ascii="Times New Roman" w:cs="Times New Roman" w:eastAsia="Times New Roman" w:hAnsi="Times New Roman"/>
                <w:sz w:val="18"/>
                <w:szCs w:val="18"/>
                <w:b w:val="1"/>
                <w:bCs w:val="1"/>
                <w:color w:val="auto"/>
              </w:rPr>
              <w:t>2014 Equity Incentive Plan</w:t>
            </w:r>
          </w:p>
        </w:tc>
      </w:tr>
      <w:tr>
        <w:trPr>
          <w:trHeight w:val="220"/>
        </w:trPr>
        <w:tc>
          <w:tcPr>
            <w:tcW w:w="4040" w:type="dxa"/>
            <w:vAlign w:val="bottom"/>
          </w:tcPr>
          <w:p>
            <w:pPr>
              <w:spacing w:after="0"/>
              <w:rPr>
                <w:sz w:val="19"/>
                <w:szCs w:val="19"/>
                <w:color w:val="auto"/>
              </w:rPr>
            </w:pPr>
          </w:p>
        </w:tc>
        <w:tc>
          <w:tcPr>
            <w:tcW w:w="7200" w:type="dxa"/>
            <w:vAlign w:val="bottom"/>
          </w:tcPr>
          <w:p>
            <w:pPr>
              <w:jc w:val="center"/>
              <w:ind w:right="3930"/>
              <w:spacing w:after="0"/>
              <w:rPr>
                <w:sz w:val="20"/>
                <w:szCs w:val="20"/>
                <w:color w:val="auto"/>
              </w:rPr>
            </w:pPr>
            <w:r>
              <w:rPr>
                <w:rFonts w:ascii="Times New Roman" w:cs="Times New Roman" w:eastAsia="Times New Roman" w:hAnsi="Times New Roman"/>
                <w:sz w:val="18"/>
                <w:szCs w:val="18"/>
                <w:b w:val="1"/>
                <w:bCs w:val="1"/>
                <w:color w:val="auto"/>
                <w:w w:val="99"/>
              </w:rPr>
              <w:t>2014 Employee Stock Purchase Plan</w:t>
            </w:r>
          </w:p>
        </w:tc>
      </w:tr>
      <w:tr>
        <w:trPr>
          <w:trHeight w:val="234"/>
        </w:trPr>
        <w:tc>
          <w:tcPr>
            <w:tcW w:w="4040" w:type="dxa"/>
            <w:vAlign w:val="bottom"/>
          </w:tcPr>
          <w:p>
            <w:pPr>
              <w:spacing w:after="0"/>
              <w:rPr>
                <w:sz w:val="20"/>
                <w:szCs w:val="20"/>
                <w:color w:val="auto"/>
              </w:rPr>
            </w:pPr>
          </w:p>
        </w:tc>
        <w:tc>
          <w:tcPr>
            <w:tcW w:w="7200" w:type="dxa"/>
            <w:vAlign w:val="bottom"/>
          </w:tcPr>
          <w:p>
            <w:pPr>
              <w:jc w:val="center"/>
              <w:ind w:right="3950"/>
              <w:spacing w:after="0"/>
              <w:rPr>
                <w:sz w:val="20"/>
                <w:szCs w:val="20"/>
                <w:color w:val="auto"/>
              </w:rPr>
            </w:pPr>
            <w:r>
              <w:rPr>
                <w:rFonts w:ascii="Times New Roman" w:cs="Times New Roman" w:eastAsia="Times New Roman" w:hAnsi="Times New Roman"/>
                <w:sz w:val="18"/>
                <w:szCs w:val="18"/>
                <w:color w:val="auto"/>
                <w:w w:val="99"/>
              </w:rPr>
              <w:t>(Full titles of the plans)</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57"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Christopher Krawtschuk</w:t>
      </w:r>
    </w:p>
    <w:p>
      <w:pPr>
        <w:spacing w:after="0" w:line="31"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Eagle Pharmaceuticals, Inc.</w:t>
      </w:r>
    </w:p>
    <w:p>
      <w:pPr>
        <w:spacing w:after="0" w:line="9"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50 Tice Boulevard, Suite 315</w:t>
      </w:r>
    </w:p>
    <w:p>
      <w:pPr>
        <w:spacing w:after="0" w:line="9"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Woodcliff Lake, New Jersey 07677</w:t>
      </w:r>
    </w:p>
    <w:p>
      <w:pPr>
        <w:spacing w:after="0" w:line="9"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(201) 326-5300</w:t>
      </w:r>
    </w:p>
    <w:p>
      <w:pPr>
        <w:spacing w:after="0" w:line="9" w:lineRule="exact"/>
        <w:rPr>
          <w:sz w:val="24"/>
          <w:szCs w:val="24"/>
          <w:color w:val="auto"/>
        </w:rPr>
      </w:pPr>
    </w:p>
    <w:p>
      <w:pPr>
        <w:ind w:left="2720"/>
        <w:spacing w:after="0"/>
        <w:rPr>
          <w:sz w:val="20"/>
          <w:szCs w:val="20"/>
          <w:color w:val="auto"/>
        </w:rPr>
      </w:pPr>
      <w:r>
        <w:rPr>
          <w:rFonts w:ascii="Times New Roman" w:cs="Times New Roman" w:eastAsia="Times New Roman" w:hAnsi="Times New Roman"/>
          <w:sz w:val="18"/>
          <w:szCs w:val="18"/>
          <w:color w:val="auto"/>
        </w:rPr>
        <w:t>(Name, address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 Recht, Esq.</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Sarah Sellers, Esq.</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Cooley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500 Boylston Street, 14th Floor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Boston, Massachusetts 02116</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(617) 937-2300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468" w:right="339" w:bottom="0" w:gutter="0" w:footer="0" w:header="0"/>
        </w:sectPr>
      </w:pPr>
    </w:p>
    <w:p>
      <w:pPr>
        <w:spacing w:after="0" w:line="17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72" w:lineRule="exact"/>
        <w:rPr>
          <w:sz w:val="24"/>
          <w:szCs w:val="24"/>
          <w:color w:val="auto"/>
        </w:rPr>
      </w:pPr>
    </w:p>
    <w:p>
      <w:pPr>
        <w:sectPr>
          <w:pgSz w:w="11900" w:h="16838" w:orient="portrait"/>
          <w:cols w:equalWidth="0" w:num="4">
            <w:col w:w="3900" w:space="720"/>
            <w:col w:w="160" w:space="420"/>
            <w:col w:w="4860" w:space="720"/>
            <w:col w:w="460"/>
          </w:cols>
          <w:pgMar w:left="320" w:top="468" w:right="339" w:bottom="0" w:gutter="0" w:footer="0" w:header="0"/>
          <w:type w:val="continuous"/>
        </w:sectPr>
      </w:pP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ectPr>
          <w:pgSz w:w="11900" w:h="16838" w:orient="portrait"/>
          <w:cols w:equalWidth="0" w:num="4">
            <w:col w:w="3900" w:space="720"/>
            <w:col w:w="160" w:space="420"/>
            <w:col w:w="4860" w:space="720"/>
            <w:col w:w="460"/>
          </w:cols>
          <w:pgMar w:left="320" w:top="468" w:right="339" w:bottom="0" w:gutter="0" w:footer="0" w:header="0"/>
          <w:type w:val="continuous"/>
        </w:sectPr>
      </w:pPr>
    </w:p>
    <w:bookmarkStart w:id="1" w:name="page2"/>
    <w:bookmarkEnd w:id="1"/>
    <w:p>
      <w:pPr>
        <w:ind w:left="5200"/>
        <w:spacing w:after="0" w:line="207" w:lineRule="exact"/>
        <w:tabs>
          <w:tab w:leader="none" w:pos="1076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2" w:lineRule="exact"/>
        <w:rPr>
          <w:sz w:val="20"/>
          <w:szCs w:val="20"/>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488315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80"/>
          </w:cols>
          <w:pgMar w:left="320" w:top="310" w:right="49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DEREGISTRATION OF SECURITIES</w:t>
      </w:r>
    </w:p>
    <w:p>
      <w:pPr>
        <w:spacing w:after="0" w:line="225" w:lineRule="exact"/>
        <w:rPr>
          <w:sz w:val="20"/>
          <w:szCs w:val="20"/>
          <w:color w:val="auto"/>
        </w:rPr>
      </w:pPr>
    </w:p>
    <w:p>
      <w:pPr>
        <w:ind w:right="60" w:firstLine="648"/>
        <w:spacing w:after="0" w:line="262" w:lineRule="auto"/>
        <w:rPr>
          <w:sz w:val="20"/>
          <w:szCs w:val="20"/>
          <w:color w:val="auto"/>
        </w:rPr>
      </w:pPr>
      <w:r>
        <w:rPr>
          <w:rFonts w:ascii="Times New Roman" w:cs="Times New Roman" w:eastAsia="Times New Roman" w:hAnsi="Times New Roman"/>
          <w:sz w:val="18"/>
          <w:szCs w:val="18"/>
          <w:color w:val="auto"/>
        </w:rPr>
        <w:t>Eagle Pharmaceuticals,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is filing these post-effective amendments (these “</w:t>
      </w:r>
      <w:r>
        <w:rPr>
          <w:rFonts w:ascii="Times New Roman" w:cs="Times New Roman" w:eastAsia="Times New Roman" w:hAnsi="Times New Roman"/>
          <w:sz w:val="18"/>
          <w:szCs w:val="18"/>
          <w:b w:val="1"/>
          <w:bCs w:val="1"/>
          <w:i w:val="1"/>
          <w:iCs w:val="1"/>
          <w:color w:val="auto"/>
        </w:rPr>
        <w:t>Post-Effective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Amendments</w:t>
      </w:r>
      <w:r>
        <w:rPr>
          <w:rFonts w:ascii="Times New Roman" w:cs="Times New Roman" w:eastAsia="Times New Roman" w:hAnsi="Times New Roman"/>
          <w:sz w:val="18"/>
          <w:szCs w:val="18"/>
          <w:color w:val="auto"/>
        </w:rPr>
        <w:t>”) to the following Registration Statements on Form S-8 (collectively, the “</w:t>
      </w:r>
      <w:r>
        <w:rPr>
          <w:rFonts w:ascii="Times New Roman" w:cs="Times New Roman" w:eastAsia="Times New Roman" w:hAnsi="Times New Roman"/>
          <w:sz w:val="18"/>
          <w:szCs w:val="18"/>
          <w:b w:val="1"/>
          <w:bCs w:val="1"/>
          <w:i w:val="1"/>
          <w:iCs w:val="1"/>
          <w:color w:val="auto"/>
        </w:rPr>
        <w:t>Registration Statements</w:t>
      </w:r>
      <w:r>
        <w:rPr>
          <w:rFonts w:ascii="Times New Roman" w:cs="Times New Roman" w:eastAsia="Times New Roman" w:hAnsi="Times New Roman"/>
          <w:sz w:val="18"/>
          <w:szCs w:val="18"/>
          <w:color w:val="auto"/>
        </w:rPr>
        <w:t>”), which have been previously filed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Securities and Exchange Commission (the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to deregister any and all shares of the Company’s common stock, par value $0.001 per share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registered but unsold or otherwise unissued under each such Registration Statement as of the date hereof:</w:t>
      </w:r>
    </w:p>
    <w:p>
      <w:pPr>
        <w:spacing w:after="0" w:line="180" w:lineRule="exact"/>
        <w:rPr>
          <w:sz w:val="20"/>
          <w:szCs w:val="20"/>
          <w:color w:val="auto"/>
        </w:rPr>
      </w:pPr>
    </w:p>
    <w:p>
      <w:pPr>
        <w:ind w:left="660" w:right="40" w:hanging="328"/>
        <w:spacing w:after="0" w:line="255"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File No. 333-194056, filed with the SEC on February 21, 2014, registering 841,104 shares of Common Stock reserved for issuance upon the exercise of outstanding stock options granted under the Company’s 2007 Incentive Compensation Plan (the “</w:t>
      </w:r>
      <w:r>
        <w:rPr>
          <w:rFonts w:ascii="Times New Roman" w:cs="Times New Roman" w:eastAsia="Times New Roman" w:hAnsi="Times New Roman"/>
          <w:sz w:val="18"/>
          <w:szCs w:val="18"/>
          <w:b w:val="1"/>
          <w:bCs w:val="1"/>
          <w:i w:val="1"/>
          <w:iCs w:val="1"/>
          <w:color w:val="auto"/>
        </w:rPr>
        <w:t>2007 Plan</w:t>
      </w:r>
      <w:r>
        <w:rPr>
          <w:rFonts w:ascii="Times New Roman" w:cs="Times New Roman" w:eastAsia="Times New Roman" w:hAnsi="Times New Roman"/>
          <w:sz w:val="18"/>
          <w:szCs w:val="18"/>
          <w:color w:val="auto"/>
        </w:rPr>
        <w:t>”); 1,815,415 shares of common stock reserved for the grant of future stock awards under the Company's 2014 Equity Incentive Plan (the “</w:t>
      </w:r>
      <w:r>
        <w:rPr>
          <w:rFonts w:ascii="Times New Roman" w:cs="Times New Roman" w:eastAsia="Times New Roman" w:hAnsi="Times New Roman"/>
          <w:sz w:val="18"/>
          <w:szCs w:val="18"/>
          <w:b w:val="1"/>
          <w:bCs w:val="1"/>
          <w:i w:val="1"/>
          <w:iCs w:val="1"/>
          <w:color w:val="auto"/>
        </w:rPr>
        <w:t>2014 Plan</w:t>
      </w:r>
      <w:r>
        <w:rPr>
          <w:rFonts w:ascii="Times New Roman" w:cs="Times New Roman" w:eastAsia="Times New Roman" w:hAnsi="Times New Roman"/>
          <w:sz w:val="18"/>
          <w:szCs w:val="18"/>
          <w:color w:val="auto"/>
        </w:rPr>
        <w:t>”), which includes the shares remaining available for the grant of future stock awards under the 2007 Plan and any shares underlying then-outstanding stock awards granted under the 2007 Plan that on or after the Company's initial public offering expire or terminate for any reason prior to exercise or settlement and will become available for the grant of stock awards under the 2014 Plan, and 180,943 shares of Common Stock issuable under the Company’s 2014 Employee Stock Purchase Plan (the “</w:t>
      </w:r>
      <w:r>
        <w:rPr>
          <w:rFonts w:ascii="Times New Roman" w:cs="Times New Roman" w:eastAsia="Times New Roman" w:hAnsi="Times New Roman"/>
          <w:sz w:val="18"/>
          <w:szCs w:val="18"/>
          <w:b w:val="1"/>
          <w:bCs w:val="1"/>
          <w:i w:val="1"/>
          <w:iCs w:val="1"/>
          <w:color w:val="auto"/>
        </w:rPr>
        <w:t>2014 ESPP</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File No. 333-206729, filed with the SEC on September 2, 2015, registering 1,061,287 shares of Common Stock issuable under the 2014 Plan and 140,322 shares of Common Stock issuable under the 2014 ESPP;</w:t>
      </w:r>
    </w:p>
    <w:p>
      <w:pPr>
        <w:spacing w:after="0" w:line="16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File No. 333-213683, filed with the SEC on September 16, 2016, registering 938,183 shares of Common Stock issuable under the 2014 Plan and 155,898 shares of Common Stock issuable under the 2014 ESPP;</w:t>
      </w:r>
    </w:p>
    <w:p>
      <w:pPr>
        <w:spacing w:after="0" w:line="161"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File No. 333-216839, filed with the SEC on March 20, 2017, registering 919,227 shares of Common Stock issuable under the 2014 Plan and 154,357 shares of Common Stock issuable under the 2014 ESPP;</w:t>
      </w:r>
    </w:p>
    <w:p>
      <w:pPr>
        <w:spacing w:after="0" w:line="161"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File No. 333-228876, filed with the SEC on December 18, 2018, registering 890,864 shares of Common Stock issuable under the 2014 Plan and 149,209 shares of Common Stock issuable under the 2014 ESPP; and</w:t>
      </w:r>
    </w:p>
    <w:p>
      <w:pPr>
        <w:spacing w:after="0" w:line="161"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File No. 333-263869, filed with the SEC on March 25, 2022, registering 3,203,555 shares of Common Stock issuable under the 2014 Plan.</w:t>
      </w:r>
    </w:p>
    <w:p>
      <w:pPr>
        <w:spacing w:after="0" w:line="162" w:lineRule="exact"/>
        <w:rPr>
          <w:sz w:val="20"/>
          <w:szCs w:val="20"/>
          <w:color w:val="auto"/>
        </w:rPr>
      </w:pPr>
    </w:p>
    <w:p>
      <w:pPr>
        <w:ind w:firstLine="648"/>
        <w:spacing w:after="0" w:line="281" w:lineRule="auto"/>
        <w:rPr>
          <w:sz w:val="20"/>
          <w:szCs w:val="20"/>
          <w:color w:val="auto"/>
        </w:rPr>
      </w:pPr>
      <w:r>
        <w:rPr>
          <w:rFonts w:ascii="Times New Roman" w:cs="Times New Roman" w:eastAsia="Times New Roman" w:hAnsi="Times New Roman"/>
          <w:sz w:val="17"/>
          <w:szCs w:val="17"/>
          <w:color w:val="auto"/>
        </w:rPr>
        <w:t>By filing these Post-Effective Amendments, the Company has terminated any and all offerings of its securities pursuant to the Registration Statements. Accordingly, the Company hereby terminates the effectiveness of each Registration Statement and, in accordance with an undertaking made by the Company in Part II of each Registration Statement to remove from registration, by means of post-effective amendment, removes from registration any and all securities of the Company registered for issuance but remain unsold or otherwise unissued under the Registration Statements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407670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3" w:name="page4"/>
    <w:bookmarkEnd w:id="3"/>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Rule 478 under the Securities Act of 1933, as amended, the Company certifies that it has the power to file these Post-Effective Amendments and has duly caused these Post-Effective Amendments to be signed on its behalf by the undersigned, thereunto duly authorized, in the City of Woodcliff Lake, State of New Jersey, on November 27, 2024.</w:t>
      </w:r>
    </w:p>
    <w:p>
      <w:pPr>
        <w:spacing w:after="0" w:line="17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EAGLE PHARMACEUTICALS,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Christopher Krawtschuk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Christopher Krawtschuk</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00"/>
      </w:cols>
      <w:pgMar w:left="320" w:top="90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2024-11-27T16:11:45Z</dcterms:created>
  <dcterms:modified xsi:type="dcterms:W3CDTF">2024-11-27T16:11:45Z</dcterms:modified>
</cp:coreProperties>
</file>