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Eagle Pharmaceuticals,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269796108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269796108</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269796108</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Triton Fund</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01-0825912</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9" w:lineRule="exact"/>
        <w:rPr>
          <w:rFonts w:ascii="Courier New" w:cs="Courier New" w:eastAsia="Courier New" w:hAnsi="Courier New"/>
          <w:sz w:val="18"/>
          <w:szCs w:val="18"/>
          <w:color w:val="auto"/>
        </w:rPr>
      </w:pPr>
    </w:p>
    <w:p>
      <w:pPr>
        <w:ind w:left="420" w:right="3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1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Eagle Pharmaceuticals, Inc. ("Eagle")</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50 Tice Boulevard, Suite 315</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Woodcliff Lake, NJ 07677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1480" w:right="5599" w:hanging="314"/>
        <w:spacing w:after="0" w:line="257" w:lineRule="auto"/>
        <w:tabs>
          <w:tab w:leader="none" w:pos="169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Triton Fund 151 Detroit Street</w:t>
      </w:r>
    </w:p>
    <w:p>
      <w:pPr>
        <w:ind w:left="1480" w:right="58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Massachusetts</w:t>
      </w:r>
    </w:p>
    <w:p>
      <w:pPr>
        <w:spacing w:after="0" w:line="25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269796108</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Janus Henderson Triton Fund is an Investment Company registered under Section 8 of the Investment Company Act of 1940.</w:t>
      </w:r>
    </w:p>
    <w:p>
      <w:pPr>
        <w:spacing w:after="0" w:line="2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659"/>
        <w:spacing w:after="0" w:line="292" w:lineRule="auto"/>
        <w:rPr>
          <w:sz w:val="20"/>
          <w:szCs w:val="20"/>
          <w:color w:val="auto"/>
        </w:rPr>
      </w:pPr>
      <w:r>
        <w:rPr>
          <w:rFonts w:ascii="Courier New" w:cs="Courier New" w:eastAsia="Courier New" w:hAnsi="Courier New"/>
          <w:sz w:val="18"/>
          <w:szCs w:val="18"/>
          <w:color w:val="auto"/>
        </w:rPr>
        <w:t>Janus Henderson Triton Fund is an investment company registered under the Investment Company Act of 1940 and is one of the Managed Portfolios to which JHIUS provides investment advice.</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079"/>
        <w:spacing w:after="0" w:line="292"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66"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ectPr>
          <w:pgSz w:w="11900" w:h="16838" w:orient="portrait"/>
          <w:cols w:equalWidth="0" w:num="1">
            <w:col w:w="10139"/>
          </w:cols>
          <w:pgMar w:left="320" w:top="312" w:right="1440" w:bottom="0" w:gutter="0" w:footer="0" w:header="0"/>
        </w:sectPr>
      </w:pPr>
    </w:p>
    <w:bookmarkStart w:id="3" w:name="page4"/>
    <w:bookmarkEnd w:id="3"/>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Triton Fund</w:t>
      </w:r>
    </w:p>
    <w:p>
      <w:pPr>
        <w:spacing w:after="0" w:line="29"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69" w:lineRule="exact"/>
        <w:rPr>
          <w:sz w:val="20"/>
          <w:szCs w:val="20"/>
          <w:color w:val="auto"/>
        </w:rPr>
      </w:pPr>
    </w:p>
    <w:p>
      <w:pPr>
        <w:ind w:right="2759"/>
        <w:spacing w:after="0" w:line="293" w:lineRule="auto"/>
        <w:rPr>
          <w:sz w:val="20"/>
          <w:szCs w:val="20"/>
          <w:color w:val="auto"/>
        </w:rPr>
      </w:pPr>
      <w:r>
        <w:rPr>
          <w:rFonts w:ascii="Courier New" w:cs="Courier New" w:eastAsia="Courier New" w:hAnsi="Courier New"/>
          <w:sz w:val="16"/>
          <w:szCs w:val="16"/>
          <w:color w:val="auto"/>
        </w:rPr>
        <w:t>In accordance with Rule 13d-1(k) under the Securities Exchange Act of 1934, the persons named below agree to the joint filing on behalf of each of them of a Statement on Schedule 13G (including amendments thereto) with respect to the Common Stock of Eagle Pharmaceuticals, Inc. and further agree that this Joint Filing Agreement be included as an Exhibit to such joint filings. In evidence thereof, the undersigned hereby execute this Agreement as of the 14th day of November, 2024.</w:t>
      </w:r>
    </w:p>
    <w:p>
      <w:pPr>
        <w:spacing w:after="0" w:line="7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ectPr>
          <w:pgSz w:w="11900" w:h="16838" w:orient="portrait"/>
          <w:cols w:equalWidth="0" w:num="1">
            <w:col w:w="10139"/>
          </w:cols>
          <w:pgMar w:left="320" w:top="312" w:right="1440" w:bottom="0" w:gutter="0" w:footer="0" w:header="0"/>
        </w:sectPr>
      </w:pPr>
    </w:p>
    <w:bookmarkStart w:id="4" w:name="page5"/>
    <w:bookmarkEnd w:id="4"/>
    <w:p>
      <w:pPr>
        <w:ind w:left="160"/>
        <w:spacing w:after="0"/>
        <w:tabs>
          <w:tab w:leader="none" w:pos="560" w:val="left"/>
          <w:tab w:leader="none" w:pos="10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Kristin Mariani, Head of North America Compliance, CCO</w:t>
      </w:r>
    </w:p>
    <w:p>
      <w:pPr>
        <w:spacing w:after="0" w:line="19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Janus Henderson Triton Fund</w:t>
      </w:r>
    </w:p>
    <w:p>
      <w:pPr>
        <w:spacing w:after="0" w:line="201" w:lineRule="exact"/>
        <w:rPr>
          <w:sz w:val="20"/>
          <w:szCs w:val="20"/>
          <w:color w:val="auto"/>
        </w:rPr>
      </w:pPr>
    </w:p>
    <w:p>
      <w:pPr>
        <w:ind w:left="160"/>
        <w:spacing w:after="0"/>
        <w:tabs>
          <w:tab w:leader="none" w:pos="560" w:val="left"/>
          <w:tab w:leader="none" w:pos="10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Kristin Mariani, Head of North America Compliance, CCO</w:t>
      </w:r>
    </w:p>
    <w:sectPr>
      <w:pgSz w:w="11900" w:h="16838" w:orient="portrait"/>
      <w:cols w:equalWidth="0" w:num="1">
        <w:col w:w="9019"/>
      </w:cols>
      <w:pgMar w:left="14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3"/>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2024-11-14T09:28:11Z</dcterms:created>
  <dcterms:modified xsi:type="dcterms:W3CDTF">2024-11-14T09:28:11Z</dcterms:modified>
</cp:coreProperties>
</file>