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27,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333-194056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333-206729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333-213683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333-216839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333-228876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333-194056</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333-206729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333-213683</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333-216839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333-228876</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333-263869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Eagle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2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20-8179278</w:t>
            </w:r>
          </w:p>
        </w:tc>
      </w:tr>
      <w:tr>
        <w:trPr>
          <w:trHeight w:val="220"/>
        </w:trPr>
        <w:tc>
          <w:tcPr>
            <w:tcW w:w="404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State or other jurisdiction of</w:t>
            </w:r>
          </w:p>
        </w:tc>
        <w:tc>
          <w:tcPr>
            <w:tcW w:w="72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72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40" w:type="dxa"/>
            <w:vAlign w:val="bottom"/>
          </w:tcPr>
          <w:p>
            <w:pPr>
              <w:spacing w:after="0"/>
              <w:rPr>
                <w:sz w:val="24"/>
                <w:szCs w:val="24"/>
                <w:color w:val="auto"/>
              </w:rPr>
            </w:pPr>
          </w:p>
        </w:tc>
        <w:tc>
          <w:tcPr>
            <w:tcW w:w="7200" w:type="dxa"/>
            <w:vAlign w:val="bottom"/>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tc>
      </w:tr>
      <w:tr>
        <w:trPr>
          <w:trHeight w:val="220"/>
        </w:trPr>
        <w:tc>
          <w:tcPr>
            <w:tcW w:w="4040" w:type="dxa"/>
            <w:vAlign w:val="bottom"/>
          </w:tcPr>
          <w:p>
            <w:pPr>
              <w:spacing w:after="0"/>
              <w:rPr>
                <w:sz w:val="19"/>
                <w:szCs w:val="19"/>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b w:val="1"/>
                <w:bCs w:val="1"/>
                <w:color w:val="auto"/>
                <w:w w:val="99"/>
              </w:rPr>
              <w:t>Woodcliff Lake, New Jersey 07677</w:t>
            </w:r>
          </w:p>
        </w:tc>
      </w:tr>
      <w:tr>
        <w:trPr>
          <w:trHeight w:val="234"/>
        </w:trPr>
        <w:tc>
          <w:tcPr>
            <w:tcW w:w="4040" w:type="dxa"/>
            <w:vAlign w:val="bottom"/>
          </w:tcPr>
          <w:p>
            <w:pPr>
              <w:spacing w:after="0"/>
              <w:rPr>
                <w:sz w:val="20"/>
                <w:szCs w:val="20"/>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230"/>
        </w:trPr>
        <w:tc>
          <w:tcPr>
            <w:tcW w:w="4040" w:type="dxa"/>
            <w:vAlign w:val="bottom"/>
            <w:tcBorders>
              <w:bottom w:val="single" w:sz="8" w:color="auto"/>
            </w:tcBorders>
          </w:tcPr>
          <w:p>
            <w:pPr>
              <w:spacing w:after="0"/>
              <w:rPr>
                <w:sz w:val="19"/>
                <w:szCs w:val="19"/>
                <w:color w:val="auto"/>
              </w:rPr>
            </w:pPr>
          </w:p>
        </w:tc>
        <w:tc>
          <w:tcPr>
            <w:tcW w:w="7200" w:type="dxa"/>
            <w:vAlign w:val="bottom"/>
            <w:tcBorders>
              <w:bottom w:val="single" w:sz="8" w:color="auto"/>
            </w:tcBorders>
          </w:tcPr>
          <w:p>
            <w:pPr>
              <w:spacing w:after="0"/>
              <w:rPr>
                <w:sz w:val="19"/>
                <w:szCs w:val="19"/>
                <w:color w:val="auto"/>
              </w:rPr>
            </w:pPr>
          </w:p>
        </w:tc>
      </w:tr>
      <w:tr>
        <w:trPr>
          <w:trHeight w:val="444"/>
        </w:trPr>
        <w:tc>
          <w:tcPr>
            <w:tcW w:w="4040" w:type="dxa"/>
            <w:vAlign w:val="bottom"/>
          </w:tcPr>
          <w:p>
            <w:pPr>
              <w:spacing w:after="0"/>
              <w:rPr>
                <w:sz w:val="24"/>
                <w:szCs w:val="24"/>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2007 Incentive Compensation Plan</w:t>
            </w:r>
          </w:p>
        </w:tc>
      </w:tr>
      <w:tr>
        <w:trPr>
          <w:trHeight w:val="216"/>
        </w:trPr>
        <w:tc>
          <w:tcPr>
            <w:tcW w:w="4040" w:type="dxa"/>
            <w:vAlign w:val="bottom"/>
          </w:tcPr>
          <w:p>
            <w:pPr>
              <w:spacing w:after="0"/>
              <w:rPr>
                <w:sz w:val="18"/>
                <w:szCs w:val="18"/>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b w:val="1"/>
                <w:bCs w:val="1"/>
                <w:color w:val="auto"/>
              </w:rPr>
              <w:t>2014 Equity Incentive Plan</w:t>
            </w:r>
          </w:p>
        </w:tc>
      </w:tr>
      <w:tr>
        <w:trPr>
          <w:trHeight w:val="220"/>
        </w:trPr>
        <w:tc>
          <w:tcPr>
            <w:tcW w:w="4040" w:type="dxa"/>
            <w:vAlign w:val="bottom"/>
          </w:tcPr>
          <w:p>
            <w:pPr>
              <w:spacing w:after="0"/>
              <w:rPr>
                <w:sz w:val="19"/>
                <w:szCs w:val="19"/>
                <w:color w:val="auto"/>
              </w:rPr>
            </w:pPr>
          </w:p>
        </w:tc>
        <w:tc>
          <w:tcPr>
            <w:tcW w:w="7200" w:type="dxa"/>
            <w:vAlign w:val="bottom"/>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2014 Employee Stock Purchase Plan</w:t>
            </w:r>
          </w:p>
        </w:tc>
      </w:tr>
      <w:tr>
        <w:trPr>
          <w:trHeight w:val="234"/>
        </w:trPr>
        <w:tc>
          <w:tcPr>
            <w:tcW w:w="4040" w:type="dxa"/>
            <w:vAlign w:val="bottom"/>
          </w:tcPr>
          <w:p>
            <w:pPr>
              <w:spacing w:after="0"/>
              <w:rPr>
                <w:sz w:val="20"/>
                <w:szCs w:val="20"/>
                <w:color w:val="auto"/>
              </w:rPr>
            </w:pPr>
          </w:p>
        </w:tc>
        <w:tc>
          <w:tcPr>
            <w:tcW w:w="7200" w:type="dxa"/>
            <w:vAlign w:val="bottom"/>
          </w:tcPr>
          <w:p>
            <w:pPr>
              <w:jc w:val="center"/>
              <w:ind w:right="3950"/>
              <w:spacing w:after="0"/>
              <w:rPr>
                <w:sz w:val="20"/>
                <w:szCs w:val="20"/>
                <w:color w:val="auto"/>
              </w:rPr>
            </w:pPr>
            <w:r>
              <w:rPr>
                <w:rFonts w:ascii="Times New Roman" w:cs="Times New Roman" w:eastAsia="Times New Roman" w:hAnsi="Times New Roman"/>
                <w:sz w:val="18"/>
                <w:szCs w:val="18"/>
                <w:color w:val="auto"/>
                <w:w w:val="99"/>
              </w:rPr>
              <w:t>(Full titles of the plans)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Christopher Krawtschuk</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Woodcliff Lake, New Jersey 07677</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(201) 326-5300</w:t>
      </w:r>
    </w:p>
    <w:p>
      <w:pPr>
        <w:spacing w:after="0" w:line="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 Recht,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Sarah Sellers,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Boylston Street, 14th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937-2300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3900" w:space="720"/>
            <w:col w:w="160" w:space="420"/>
            <w:col w:w="4860" w:space="720"/>
            <w:col w:w="460"/>
          </w:cols>
          <w:pgMar w:left="320" w:top="468" w:right="339" w:bottom="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3900" w:space="720"/>
            <w:col w:w="160" w:space="420"/>
            <w:col w:w="4860" w:space="720"/>
            <w:col w:w="460"/>
          </w:cols>
          <w:pgMar w:left="320" w:top="468" w:right="339" w:bottom="0" w:gutter="0" w:footer="0" w:header="0"/>
          <w:type w:val="continuous"/>
        </w:sectPr>
      </w:pPr>
    </w:p>
    <w:bookmarkStart w:id="1" w:name="page2"/>
    <w:bookmarkEnd w:id="1"/>
    <w:p>
      <w:pPr>
        <w:ind w:left="5200"/>
        <w:spacing w:after="0" w:line="207" w:lineRule="exact"/>
        <w:tabs>
          <w:tab w:leader="none" w:pos="107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10"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Eagle 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filing these post-effective amendments (these “</w:t>
      </w:r>
      <w:r>
        <w:rPr>
          <w:rFonts w:ascii="Times New Roman" w:cs="Times New Roman" w:eastAsia="Times New Roman" w:hAnsi="Times New Roman"/>
          <w:sz w:val="18"/>
          <w:szCs w:val="18"/>
          <w:b w:val="1"/>
          <w:bCs w:val="1"/>
          <w:i w:val="1"/>
          <w:iCs w:val="1"/>
          <w:color w:val="auto"/>
        </w:rPr>
        <w:t>Post-Effective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Amendments</w:t>
      </w:r>
      <w:r>
        <w:rPr>
          <w:rFonts w:ascii="Times New Roman" w:cs="Times New Roman" w:eastAsia="Times New Roman" w:hAnsi="Times New Roman"/>
          <w:sz w:val="18"/>
          <w:szCs w:val="18"/>
          <w:color w:val="auto"/>
        </w:rPr>
        <w:t>”) to the following Registration Statements on Form S-8 (collectively,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which have been previously filed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to deregister any and all shares of the Company’s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registered but unsold or otherwise unissued under each such Registration Statement as of the date hereof:</w:t>
      </w:r>
    </w:p>
    <w:p>
      <w:pPr>
        <w:spacing w:after="0" w:line="180" w:lineRule="exact"/>
        <w:rPr>
          <w:sz w:val="20"/>
          <w:szCs w:val="20"/>
          <w:color w:val="auto"/>
        </w:rPr>
      </w:pPr>
    </w:p>
    <w:p>
      <w:pPr>
        <w:ind w:left="660" w:right="4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333-194056, filed with the SEC on February 21, 2014, registering 841,104 shares of Common Stock reserved for issuance upon the exercise of outstanding stock options granted under the Company’s 2007 Incentive Compensation Plan (the “</w:t>
      </w:r>
      <w:r>
        <w:rPr>
          <w:rFonts w:ascii="Times New Roman" w:cs="Times New Roman" w:eastAsia="Times New Roman" w:hAnsi="Times New Roman"/>
          <w:sz w:val="18"/>
          <w:szCs w:val="18"/>
          <w:b w:val="1"/>
          <w:bCs w:val="1"/>
          <w:i w:val="1"/>
          <w:iCs w:val="1"/>
          <w:color w:val="auto"/>
        </w:rPr>
        <w:t>2007 Plan</w:t>
      </w:r>
      <w:r>
        <w:rPr>
          <w:rFonts w:ascii="Times New Roman" w:cs="Times New Roman" w:eastAsia="Times New Roman" w:hAnsi="Times New Roman"/>
          <w:sz w:val="18"/>
          <w:szCs w:val="18"/>
          <w:color w:val="auto"/>
        </w:rPr>
        <w:t>”); 1,815,415 shares of common stock reserved for the grant of future stock awards under the Company's 2014 Equity Incentive Plan (the “</w:t>
      </w:r>
      <w:r>
        <w:rPr>
          <w:rFonts w:ascii="Times New Roman" w:cs="Times New Roman" w:eastAsia="Times New Roman" w:hAnsi="Times New Roman"/>
          <w:sz w:val="18"/>
          <w:szCs w:val="18"/>
          <w:b w:val="1"/>
          <w:bCs w:val="1"/>
          <w:i w:val="1"/>
          <w:iCs w:val="1"/>
          <w:color w:val="auto"/>
        </w:rPr>
        <w:t>2014 Plan</w:t>
      </w:r>
      <w:r>
        <w:rPr>
          <w:rFonts w:ascii="Times New Roman" w:cs="Times New Roman" w:eastAsia="Times New Roman" w:hAnsi="Times New Roman"/>
          <w:sz w:val="18"/>
          <w:szCs w:val="18"/>
          <w:color w:val="auto"/>
        </w:rPr>
        <w:t>”), which includes the shares remaining available for the grant of future stock awards under the 2007 Plan and any shares underlying then-outstanding stock awards granted under the 2007 Plan that on or after the Company's initial public offering expire or terminate for any reason prior to exercise or settlement and will become available for the grant of stock awards under the 2014 Plan, and 180,943 shares of Common Stock issuable under the Company’s 2014 Employee Stock Purchase Plan (the “</w:t>
      </w:r>
      <w:r>
        <w:rPr>
          <w:rFonts w:ascii="Times New Roman" w:cs="Times New Roman" w:eastAsia="Times New Roman" w:hAnsi="Times New Roman"/>
          <w:sz w:val="18"/>
          <w:szCs w:val="18"/>
          <w:b w:val="1"/>
          <w:bCs w:val="1"/>
          <w:i w:val="1"/>
          <w:iCs w:val="1"/>
          <w:color w:val="auto"/>
        </w:rPr>
        <w:t>2014 ESPP</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333-206729, filed with the SEC on September 2, 2015, registering 1,061,287 shares of Common Stock issuable under the 2014 Plan and 140,322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333-213683, filed with the SEC on September 16, 2016, registering 938,183 shares of Common Stock issuable under the 2014 Plan and 155,898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333-216839, filed with the SEC on March 20, 2017, registering 919,227 shares of Common Stock issuable under the 2014 Plan and 154,357 shares of Common Stock issuable under the 2014 ESPP;</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333-228876, filed with the SEC on December 18, 2018, registering 890,864 shares of Common Stock issuable under the 2014 Plan and 149,209 shares of Common Stock issuable under the 2014 ESPP;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File No. 333-263869, filed with the SEC on March 25, 2022, registering 3,203,555 shares of Common Stock issuable under the 2014 Plan.</w:t>
      </w:r>
    </w:p>
    <w:p>
      <w:pPr>
        <w:spacing w:after="0" w:line="162"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By filing these Post-Effective Amendments, the Company has terminated any and all offerings of its securities pursuant to the Registration Statements. Accordingly, the Company hereby terminates the effectiveness of each Registration Statement and, in accordance with an undertaking made by the Company in Part II of each Registration Statement to remove from registration, by means of post-effective amendment, removes from registration any and all securities of the Company registered for issuance but remain unsold or otherwise unissued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478 under the Securities Act of 1933, as amended, the Company certifies that it has the power to file these Post-Effective Amendments and has duly caused these Post-Effective Amendments to be signed on its behalf by the undersigned, thereunto duly authorized, in the City of Woodcliff Lake, State of New Jersey, on November 27,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Krawtschuk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Christopher Krawtschuk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2024-11-27T16:17:49Z</dcterms:created>
  <dcterms:modified xsi:type="dcterms:W3CDTF">2024-11-27T16:17:49Z</dcterms:modified>
</cp:coreProperties>
</file>