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333-194056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333-206729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333-213683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333-216839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333-228876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333-194056</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333-206729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333-213683</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333-216839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333-228876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20-8179278</w:t>
            </w:r>
          </w:p>
        </w:tc>
      </w:tr>
      <w:tr>
        <w:trPr>
          <w:trHeight w:val="220"/>
        </w:trPr>
        <w:tc>
          <w:tcPr>
            <w:tcW w:w="4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State or other jurisdiction of</w:t>
            </w:r>
          </w:p>
        </w:tc>
        <w:tc>
          <w:tcPr>
            <w:tcW w:w="72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40" w:type="dxa"/>
            <w:vAlign w:val="bottom"/>
          </w:tcPr>
          <w:p>
            <w:pPr>
              <w:spacing w:after="0"/>
              <w:rPr>
                <w:sz w:val="24"/>
                <w:szCs w:val="24"/>
                <w:color w:val="auto"/>
              </w:rPr>
            </w:pPr>
          </w:p>
        </w:tc>
        <w:tc>
          <w:tcPr>
            <w:tcW w:w="7200" w:type="dxa"/>
            <w:vAlign w:val="bottom"/>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w w:val="99"/>
              </w:rPr>
              <w:t>Woodcliff Lake, New Jersey 07677</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0"/>
        </w:trPr>
        <w:tc>
          <w:tcPr>
            <w:tcW w:w="404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spacing w:after="0"/>
              <w:rPr>
                <w:sz w:val="19"/>
                <w:szCs w:val="19"/>
                <w:color w:val="auto"/>
              </w:rPr>
            </w:pPr>
          </w:p>
        </w:tc>
      </w:tr>
      <w:tr>
        <w:trPr>
          <w:trHeight w:val="444"/>
        </w:trPr>
        <w:tc>
          <w:tcPr>
            <w:tcW w:w="4040" w:type="dxa"/>
            <w:vAlign w:val="bottom"/>
          </w:tcPr>
          <w:p>
            <w:pPr>
              <w:spacing w:after="0"/>
              <w:rPr>
                <w:sz w:val="24"/>
                <w:szCs w:val="24"/>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2007 Incentive Compensation Plan</w:t>
            </w:r>
          </w:p>
        </w:tc>
      </w:tr>
      <w:tr>
        <w:trPr>
          <w:trHeight w:val="216"/>
        </w:trPr>
        <w:tc>
          <w:tcPr>
            <w:tcW w:w="4040" w:type="dxa"/>
            <w:vAlign w:val="bottom"/>
          </w:tcPr>
          <w:p>
            <w:pPr>
              <w:spacing w:after="0"/>
              <w:rPr>
                <w:sz w:val="18"/>
                <w:szCs w:val="18"/>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rPr>
              <w:t>2014 Equity Incentive Plan</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2014 Employee Stock Purchase Plan</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color w:val="auto"/>
                <w:w w:val="99"/>
              </w:rPr>
              <w:t>(Full titles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Christopher Krawtschuk</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(201) 326-5300</w:t>
      </w:r>
    </w:p>
    <w:p>
      <w:pPr>
        <w:spacing w:after="0" w:line="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 Recht,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Sarah Sellers,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Boylston Street, 14th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937-2300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3900" w:space="720"/>
            <w:col w:w="160" w:space="420"/>
            <w:col w:w="4860" w:space="720"/>
            <w:col w:w="4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900" w:space="720"/>
            <w:col w:w="160" w:space="420"/>
            <w:col w:w="4860" w:space="720"/>
            <w:col w:w="460"/>
          </w:cols>
          <w:pgMar w:left="320" w:top="468" w:right="339" w:bottom="0" w:gutter="0" w:footer="0" w:header="0"/>
          <w:type w:val="continuous"/>
        </w:sectPr>
      </w:pPr>
    </w:p>
    <w:bookmarkStart w:id="1" w:name="page2"/>
    <w:bookmarkEnd w:id="1"/>
    <w:p>
      <w:pPr>
        <w:ind w:left="5200"/>
        <w:spacing w:after="0" w:line="207" w:lineRule="exact"/>
        <w:tabs>
          <w:tab w:leader="none" w:pos="10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0"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Eagle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these post-effective amendments (these “</w:t>
      </w:r>
      <w:r>
        <w:rPr>
          <w:rFonts w:ascii="Times New Roman" w:cs="Times New Roman" w:eastAsia="Times New Roman" w:hAnsi="Times New Roman"/>
          <w:sz w:val="18"/>
          <w:szCs w:val="18"/>
          <w:b w:val="1"/>
          <w:bCs w:val="1"/>
          <w:i w:val="1"/>
          <w:iCs w:val="1"/>
          <w:color w:val="auto"/>
        </w:rPr>
        <w:t>Post-Effective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color w:val="auto"/>
        </w:rPr>
        <w:t>”) to the following Registration Statements on Form S-8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which have been previously filed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to deregister any and all shares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registered but unsold or otherwise unissued under each such Registration Statement as of the date hereof:</w:t>
      </w:r>
    </w:p>
    <w:p>
      <w:pPr>
        <w:spacing w:after="0" w:line="180" w:lineRule="exact"/>
        <w:rPr>
          <w:sz w:val="20"/>
          <w:szCs w:val="20"/>
          <w:color w:val="auto"/>
        </w:rPr>
      </w:pPr>
    </w:p>
    <w:p>
      <w:pPr>
        <w:ind w:left="660" w:right="4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333-194056, filed with the SEC on February 21, 2014, registering 841,104 shares of Common Stock reserved for issuance upon the exercise of outstanding stock options granted under the Company’s 2007 Incentive Compensation Plan (the “</w:t>
      </w:r>
      <w:r>
        <w:rPr>
          <w:rFonts w:ascii="Times New Roman" w:cs="Times New Roman" w:eastAsia="Times New Roman" w:hAnsi="Times New Roman"/>
          <w:sz w:val="18"/>
          <w:szCs w:val="18"/>
          <w:b w:val="1"/>
          <w:bCs w:val="1"/>
          <w:i w:val="1"/>
          <w:iCs w:val="1"/>
          <w:color w:val="auto"/>
        </w:rPr>
        <w:t>2007 Plan</w:t>
      </w:r>
      <w:r>
        <w:rPr>
          <w:rFonts w:ascii="Times New Roman" w:cs="Times New Roman" w:eastAsia="Times New Roman" w:hAnsi="Times New Roman"/>
          <w:sz w:val="18"/>
          <w:szCs w:val="18"/>
          <w:color w:val="auto"/>
        </w:rPr>
        <w:t>”); 1,815,415 shares of common stock reserved for the grant of future stock awards under the Company's 2014 Equity Incentive Plan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which includes the shares remaining available for the grant of future stock awards under the 2007 Plan and any shares underlying then-outstanding stock awards granted under the 2007 Plan that on or after the Company's initial public offering expire or terminate for any reason prior to exercise or settlement and will become available for the grant of stock awards under the 2014 Plan, and 180,943 shares of Common Stock issuable under the Company’s 2014 Employee Stock Purchase Plan (the “</w:t>
      </w:r>
      <w:r>
        <w:rPr>
          <w:rFonts w:ascii="Times New Roman" w:cs="Times New Roman" w:eastAsia="Times New Roman" w:hAnsi="Times New Roman"/>
          <w:sz w:val="18"/>
          <w:szCs w:val="18"/>
          <w:b w:val="1"/>
          <w:bCs w:val="1"/>
          <w:i w:val="1"/>
          <w:iCs w:val="1"/>
          <w:color w:val="auto"/>
        </w:rPr>
        <w:t>2014 ESPP</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333-206729, filed with the SEC on September 2, 2015, registering 1,061,287 shares of Common Stock issuable under the 2014 Plan and 140,322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333-213683, filed with the SEC on September 16, 2016, registering 938,183 shares of Common Stock issuable under the 2014 Plan and 155,898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333-216839, filed with the SEC on March 20, 2017, registering 919,227 shares of Common Stock issuable under the 2014 Plan and 154,357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333-228876, filed with the SEC on December 18, 2018, registering 890,864 shares of Common Stock issuable under the 2014 Plan and 149,209 shares of Common Stock issuable under the 2014 ESPP;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333-263869, filed with the SEC on March 25, 2022, registering 3,203,555 shares of Common Stock issuable under the 2014 Plan.</w:t>
      </w:r>
    </w:p>
    <w:p>
      <w:pPr>
        <w:spacing w:after="0" w:line="162"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By filing these Post-Effective Amendments, the Company has terminated any and all offerings of its securities pursuant to the Registration Statements. Accordingly, the Company hereby terminates the effectiveness of each Registration Statement and, in accordance with an undertaking made by the Company in Part II of each Registration Statement to remove from registration, by means of post-effective amendment, removes from registration any and all securities of the Company registered for issuance but remain unsold or otherwise unissued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the Company certifies that it has the power to file these Post-Effective Amendments and has duly caused these Post-Effective Amendments to be signed on its behalf by the undersigned, thereunto duly authorized, in the City of Woodcliff Lake, State of New Jersey, on November 27,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Krawtschuk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2024-11-27T15:50:59Z</dcterms:created>
  <dcterms:modified xsi:type="dcterms:W3CDTF">2024-11-27T15:50:59Z</dcterms:modified>
</cp:coreProperties>
</file>