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UNITED STATES</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SECURITIES AND EXCHANGE COMMISSION</w:t>
      </w:r>
    </w:p>
    <w:p>
      <w:pPr>
        <w:spacing w:after="0"/>
        <w:rPr>
          <w:sz w:val="20"/>
          <w:szCs w:val="20"/>
          <w:color w:val="auto"/>
        </w:rPr>
      </w:pPr>
      <w:r>
        <w:rPr>
          <w:rFonts w:ascii="Courier New" w:cs="Courier New" w:eastAsia="Courier New" w:hAnsi="Courier New"/>
          <w:sz w:val="18"/>
          <w:szCs w:val="18"/>
          <w:color w:val="auto"/>
        </w:rPr>
        <w:t>Washington, D.C. 20549</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(Amendment No.1) *</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Eagle Pharmaceuticals Inc.</w:t>
      </w:r>
    </w:p>
    <w:p>
      <w:pPr>
        <w:spacing w:after="0" w:line="3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(Name of Issuer)</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Common Shares</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(Title of Class of</w:t>
      </w:r>
    </w:p>
    <w:p>
      <w:pPr>
        <w:spacing w:after="0"/>
        <w:rPr>
          <w:sz w:val="20"/>
          <w:szCs w:val="20"/>
          <w:color w:val="auto"/>
        </w:rPr>
      </w:pPr>
      <w:r>
        <w:rPr>
          <w:rFonts w:ascii="Courier New" w:cs="Courier New" w:eastAsia="Courier New" w:hAnsi="Courier New"/>
          <w:sz w:val="18"/>
          <w:szCs w:val="18"/>
          <w:color w:val="auto"/>
        </w:rPr>
        <w:t>Securities)</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269796108</w:t>
      </w:r>
    </w:p>
    <w:p>
      <w:pPr>
        <w:spacing w:after="0" w:line="3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Number)</w:t>
      </w:r>
    </w:p>
    <w:p>
      <w:pPr>
        <w:spacing w:after="0" w:line="37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September 30, 2024</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(Date of Event Which Requires Filing of this</w:t>
      </w:r>
    </w:p>
    <w:p>
      <w:pPr>
        <w:spacing w:after="0"/>
        <w:rPr>
          <w:sz w:val="20"/>
          <w:szCs w:val="20"/>
          <w:color w:val="auto"/>
        </w:rPr>
      </w:pPr>
      <w:r>
        <w:rPr>
          <w:rFonts w:ascii="Courier New" w:cs="Courier New" w:eastAsia="Courier New" w:hAnsi="Courier New"/>
          <w:sz w:val="18"/>
          <w:szCs w:val="18"/>
          <w:color w:val="auto"/>
        </w:rPr>
        <w:t>Statement)</w:t>
      </w:r>
    </w:p>
    <w:p>
      <w:pPr>
        <w:spacing w:after="0" w:line="37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Check the appropriate box to designate the rule pursuant to which this</w:t>
      </w:r>
    </w:p>
    <w:p>
      <w:pPr>
        <w:spacing w:after="0" w:line="3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is filed:</w:t>
      </w:r>
    </w:p>
    <w:p>
      <w:pPr>
        <w:spacing w:after="0" w:line="169" w:lineRule="exact"/>
        <w:rPr>
          <w:sz w:val="24"/>
          <w:szCs w:val="24"/>
          <w:color w:val="auto"/>
        </w:rPr>
      </w:pPr>
    </w:p>
    <w:p>
      <w:pPr>
        <w:ind w:right="8239" w:firstLine="8"/>
        <w:spacing w:after="0" w:line="612" w:lineRule="auto"/>
        <w:tabs>
          <w:tab w:leader="none" w:pos="42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 (b) [ ] Rule 13d-1(c) [ ] Rule 13d-1(d)</w:t>
      </w:r>
    </w:p>
    <w:p>
      <w:pPr>
        <w:spacing w:after="0" w:line="31" w:lineRule="exact"/>
        <w:rPr>
          <w:sz w:val="24"/>
          <w:szCs w:val="24"/>
          <w:color w:val="auto"/>
        </w:rPr>
      </w:pPr>
    </w:p>
    <w:p>
      <w:pPr>
        <w:ind w:left="220" w:hanging="212"/>
        <w:spacing w:after="0"/>
        <w:tabs>
          <w:tab w:leader="none" w:pos="2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remainder of this cover page shall be filled out for a reporting</w:t>
      </w:r>
    </w:p>
    <w:p>
      <w:pPr>
        <w:spacing w:after="0" w:line="30" w:lineRule="exact"/>
        <w:rPr>
          <w:rFonts w:ascii="Courier New" w:cs="Courier New" w:eastAsia="Courier New" w:hAnsi="Courier New"/>
          <w:sz w:val="18"/>
          <w:szCs w:val="18"/>
          <w:color w:val="auto"/>
        </w:rPr>
      </w:pPr>
    </w:p>
    <w:p>
      <w:pPr>
        <w:ind w:right="2439"/>
        <w:spacing w:after="0" w:line="273"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persons initial filing on this form with respect to the subject class of securities, and for any subsequent amendment containing information which would alter the disclosures provided in a prior cover page.</w:t>
      </w:r>
    </w:p>
    <w:p>
      <w:pPr>
        <w:spacing w:after="0" w:line="285" w:lineRule="exact"/>
        <w:rPr>
          <w:sz w:val="24"/>
          <w:szCs w:val="24"/>
          <w:color w:val="auto"/>
        </w:rPr>
      </w:pPr>
    </w:p>
    <w:p>
      <w:pPr>
        <w:ind w:right="2439"/>
        <w:spacing w:after="0" w:line="265"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8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 1745 (3-98)</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No.269796108</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Names of Reporting</w:t>
      </w:r>
    </w:p>
    <w:p>
      <w:pPr>
        <w:spacing w:after="0" w:line="238" w:lineRule="auto"/>
        <w:rPr>
          <w:sz w:val="20"/>
          <w:szCs w:val="20"/>
          <w:color w:val="auto"/>
        </w:rPr>
      </w:pPr>
      <w:r>
        <w:rPr>
          <w:rFonts w:ascii="Courier New" w:cs="Courier New" w:eastAsia="Courier New" w:hAnsi="Courier New"/>
          <w:sz w:val="18"/>
          <w:szCs w:val="18"/>
          <w:color w:val="auto"/>
        </w:rPr>
        <w:t>Persons.</w:t>
      </w:r>
    </w:p>
    <w:p>
      <w:pPr>
        <w:spacing w:after="0"/>
        <w:rPr>
          <w:sz w:val="20"/>
          <w:szCs w:val="20"/>
          <w:color w:val="auto"/>
        </w:rPr>
      </w:pPr>
      <w:r>
        <w:rPr>
          <w:rFonts w:ascii="Courier New" w:cs="Courier New" w:eastAsia="Courier New" w:hAnsi="Courier New"/>
          <w:sz w:val="18"/>
          <w:szCs w:val="18"/>
          <w:color w:val="auto"/>
        </w:rPr>
        <w:t>Brandes Investment Partners, L.P.</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I.R.S. Identification Nos. of above</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persons (entities only).</w:t>
      </w:r>
    </w:p>
    <w:p>
      <w:pPr>
        <w:ind w:left="420"/>
        <w:spacing w:after="0"/>
        <w:rPr>
          <w:sz w:val="20"/>
          <w:szCs w:val="20"/>
          <w:color w:val="auto"/>
        </w:rPr>
      </w:pPr>
      <w:r>
        <w:rPr>
          <w:rFonts w:ascii="Courier New" w:cs="Courier New" w:eastAsia="Courier New" w:hAnsi="Courier New"/>
          <w:sz w:val="18"/>
          <w:szCs w:val="18"/>
          <w:color w:val="auto"/>
        </w:rPr>
        <w:t>33-0704072</w:t>
      </w:r>
    </w:p>
    <w:p>
      <w:pPr>
        <w:spacing w:after="0" w:line="37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2.</w:t>
      </w:r>
    </w:p>
    <w:p>
      <w:pPr>
        <w:spacing w:after="0" w:line="3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Check the Appropriate Box if a Member of a Group (See Instructions)</w:t>
      </w:r>
    </w:p>
    <w:p>
      <w:pPr>
        <w:spacing w:after="0" w:line="169" w:lineRule="exact"/>
        <w:rPr>
          <w:sz w:val="24"/>
          <w:szCs w:val="24"/>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0</w:t>
      </w:r>
    </w:p>
    <w:p>
      <w:pPr>
        <w:spacing w:after="0" w:line="30"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0</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3.</w:t>
      </w:r>
    </w:p>
    <w:p>
      <w:pPr>
        <w:spacing w:after="0" w:line="3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 Use Only</w:t>
      </w:r>
    </w:p>
    <w:p>
      <w:pPr>
        <w:spacing w:after="0" w:line="37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4.</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Citizenship or Place of</w:t>
      </w:r>
    </w:p>
    <w:p>
      <w:pPr>
        <w:spacing w:after="0" w:line="238" w:lineRule="auto"/>
        <w:rPr>
          <w:sz w:val="20"/>
          <w:szCs w:val="20"/>
          <w:color w:val="auto"/>
        </w:rPr>
      </w:pPr>
      <w:r>
        <w:rPr>
          <w:rFonts w:ascii="Courier New" w:cs="Courier New" w:eastAsia="Courier New" w:hAnsi="Courier New"/>
          <w:sz w:val="18"/>
          <w:szCs w:val="18"/>
          <w:color w:val="auto"/>
        </w:rPr>
        <w:t>Organization</w:t>
      </w:r>
    </w:p>
    <w:p>
      <w:pPr>
        <w:spacing w:after="0"/>
        <w:rPr>
          <w:sz w:val="20"/>
          <w:szCs w:val="20"/>
          <w:color w:val="auto"/>
        </w:rPr>
      </w:pPr>
      <w:r>
        <w:rPr>
          <w:rFonts w:ascii="Courier New" w:cs="Courier New" w:eastAsia="Courier New" w:hAnsi="Courier New"/>
          <w:sz w:val="18"/>
          <w:szCs w:val="18"/>
          <w:color w:val="auto"/>
        </w:rPr>
        <w:t>Delaware</w:t>
      </w:r>
    </w:p>
    <w:p>
      <w:pPr>
        <w:spacing w:after="0" w:line="37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Number of Shares Beneficially owned by Each</w:t>
      </w:r>
    </w:p>
    <w:p>
      <w:pPr>
        <w:spacing w:after="0" w:line="3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Reporting Person With:</w:t>
      </w:r>
    </w:p>
    <w:p>
      <w:pPr>
        <w:sectPr>
          <w:pgSz w:w="11900" w:h="16854" w:orient="portrait"/>
          <w:cols w:equalWidth="0" w:num="1">
            <w:col w:w="10139"/>
          </w:cols>
          <w:pgMar w:left="320" w:top="218" w:right="1440" w:bottom="0" w:gutter="0" w:footer="0" w:header="0"/>
        </w:sectPr>
      </w:pPr>
    </w:p>
    <w:bookmarkStart w:id="1" w:name="page2"/>
    <w:bookmarkEnd w:id="1"/>
    <w:p>
      <w:pPr>
        <w:spacing w:after="0"/>
        <w:rPr>
          <w:sz w:val="20"/>
          <w:szCs w:val="20"/>
          <w:color w:val="auto"/>
        </w:rPr>
      </w:pPr>
      <w:r>
        <w:rPr>
          <w:rFonts w:ascii="Courier New" w:cs="Courier New" w:eastAsia="Courier New" w:hAnsi="Courier New"/>
          <w:sz w:val="18"/>
          <w:szCs w:val="18"/>
          <w:color w:val="auto"/>
        </w:rPr>
        <w:t>5.</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Voting Power</w:t>
      </w: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6.</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Voting Power</w:t>
      </w:r>
    </w:p>
    <w:p>
      <w:pPr>
        <w:spacing w:after="0"/>
        <w:rPr>
          <w:sz w:val="20"/>
          <w:szCs w:val="20"/>
          <w:color w:val="auto"/>
        </w:rPr>
      </w:pPr>
      <w:r>
        <w:rPr>
          <w:rFonts w:ascii="Courier New" w:cs="Courier New" w:eastAsia="Courier New" w:hAnsi="Courier New"/>
          <w:sz w:val="18"/>
          <w:szCs w:val="18"/>
          <w:color w:val="auto"/>
        </w:rPr>
        <w:t>0</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7.</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Dispositive</w:t>
      </w:r>
    </w:p>
    <w:p>
      <w:pPr>
        <w:spacing w:after="0"/>
        <w:rPr>
          <w:sz w:val="20"/>
          <w:szCs w:val="20"/>
          <w:color w:val="auto"/>
        </w:rPr>
      </w:pPr>
      <w:r>
        <w:rPr>
          <w:rFonts w:ascii="Courier New" w:cs="Courier New" w:eastAsia="Courier New" w:hAnsi="Courier New"/>
          <w:sz w:val="18"/>
          <w:szCs w:val="18"/>
          <w:color w:val="auto"/>
        </w:rPr>
        <w:t>Power</w:t>
      </w: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8.</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Dispositive</w:t>
      </w:r>
    </w:p>
    <w:p>
      <w:pPr>
        <w:spacing w:after="0" w:line="238" w:lineRule="auto"/>
        <w:rPr>
          <w:sz w:val="20"/>
          <w:szCs w:val="20"/>
          <w:color w:val="auto"/>
        </w:rPr>
      </w:pPr>
      <w:r>
        <w:rPr>
          <w:rFonts w:ascii="Courier New" w:cs="Courier New" w:eastAsia="Courier New" w:hAnsi="Courier New"/>
          <w:sz w:val="18"/>
          <w:szCs w:val="18"/>
          <w:color w:val="auto"/>
        </w:rPr>
        <w:t>Power</w:t>
      </w:r>
    </w:p>
    <w:p>
      <w:pPr>
        <w:spacing w:after="0"/>
        <w:rPr>
          <w:sz w:val="20"/>
          <w:szCs w:val="20"/>
          <w:color w:val="auto"/>
        </w:rPr>
      </w:pPr>
      <w:r>
        <w:rPr>
          <w:rFonts w:ascii="Courier New" w:cs="Courier New" w:eastAsia="Courier New" w:hAnsi="Courier New"/>
          <w:sz w:val="18"/>
          <w:szCs w:val="18"/>
          <w:color w:val="auto"/>
        </w:rPr>
        <w:t>0</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9.</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Aggregate Amount Beneficially Owned by Each</w:t>
      </w:r>
    </w:p>
    <w:p>
      <w:pPr>
        <w:spacing w:after="0" w:line="238" w:lineRule="auto"/>
        <w:rPr>
          <w:sz w:val="20"/>
          <w:szCs w:val="20"/>
          <w:color w:val="auto"/>
        </w:rPr>
      </w:pPr>
      <w:r>
        <w:rPr>
          <w:rFonts w:ascii="Courier New" w:cs="Courier New" w:eastAsia="Courier New" w:hAnsi="Courier New"/>
          <w:sz w:val="18"/>
          <w:szCs w:val="18"/>
          <w:color w:val="auto"/>
        </w:rPr>
        <w:t>Reporting Person</w:t>
      </w:r>
    </w:p>
    <w:p>
      <w:pPr>
        <w:spacing w:after="0"/>
        <w:rPr>
          <w:sz w:val="20"/>
          <w:szCs w:val="20"/>
          <w:color w:val="auto"/>
        </w:rPr>
      </w:pPr>
      <w:r>
        <w:rPr>
          <w:rFonts w:ascii="Courier New" w:cs="Courier New" w:eastAsia="Courier New" w:hAnsi="Courier New"/>
          <w:sz w:val="18"/>
          <w:szCs w:val="18"/>
          <w:color w:val="auto"/>
        </w:rPr>
        <w:t>0</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10.</w:t>
      </w:r>
    </w:p>
    <w:p>
      <w:pPr>
        <w:spacing w:after="0" w:line="31" w:lineRule="exact"/>
        <w:rPr>
          <w:sz w:val="20"/>
          <w:szCs w:val="20"/>
          <w:color w:val="auto"/>
        </w:rPr>
      </w:pPr>
    </w:p>
    <w:p>
      <w:pPr>
        <w:ind w:right="4119"/>
        <w:spacing w:after="0" w:line="238" w:lineRule="auto"/>
        <w:rPr>
          <w:sz w:val="20"/>
          <w:szCs w:val="20"/>
          <w:color w:val="auto"/>
        </w:rPr>
      </w:pPr>
      <w:r>
        <w:rPr>
          <w:rFonts w:ascii="Courier New" w:cs="Courier New" w:eastAsia="Courier New" w:hAnsi="Courier New"/>
          <w:sz w:val="18"/>
          <w:szCs w:val="18"/>
          <w:color w:val="auto"/>
        </w:rPr>
        <w:t>Check if the Aggregate Amount in Row (9) Excludes Certain Shares (See Instructions)</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0</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11.</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Percent of Class Represented by</w:t>
      </w:r>
    </w:p>
    <w:p>
      <w:pPr>
        <w:spacing w:after="0" w:line="238" w:lineRule="auto"/>
        <w:rPr>
          <w:sz w:val="20"/>
          <w:szCs w:val="20"/>
          <w:color w:val="auto"/>
        </w:rPr>
      </w:pPr>
      <w:r>
        <w:rPr>
          <w:rFonts w:ascii="Courier New" w:cs="Courier New" w:eastAsia="Courier New" w:hAnsi="Courier New"/>
          <w:sz w:val="18"/>
          <w:szCs w:val="18"/>
          <w:color w:val="auto"/>
        </w:rPr>
        <w:t>Amount in Row (9)</w:t>
      </w:r>
    </w:p>
    <w:p>
      <w:pPr>
        <w:spacing w:after="0"/>
        <w:rPr>
          <w:sz w:val="20"/>
          <w:szCs w:val="20"/>
          <w:color w:val="auto"/>
        </w:rPr>
      </w:pPr>
      <w:r>
        <w:rPr>
          <w:rFonts w:ascii="Courier New" w:cs="Courier New" w:eastAsia="Courier New" w:hAnsi="Courier New"/>
          <w:sz w:val="18"/>
          <w:szCs w:val="18"/>
          <w:color w:val="auto"/>
        </w:rPr>
        <w:t>0.00 %</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12.</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Type of Reporting Person (See</w:t>
      </w:r>
    </w:p>
    <w:p>
      <w:pPr>
        <w:spacing w:after="0" w:line="238" w:lineRule="auto"/>
        <w:rPr>
          <w:sz w:val="20"/>
          <w:szCs w:val="20"/>
          <w:color w:val="auto"/>
        </w:rPr>
      </w:pPr>
      <w:r>
        <w:rPr>
          <w:rFonts w:ascii="Courier New" w:cs="Courier New" w:eastAsia="Courier New" w:hAnsi="Courier New"/>
          <w:sz w:val="18"/>
          <w:szCs w:val="18"/>
          <w:color w:val="auto"/>
        </w:rPr>
        <w:t>Instructions)</w:t>
      </w:r>
    </w:p>
    <w:p>
      <w:pPr>
        <w:spacing w:after="0"/>
        <w:rPr>
          <w:sz w:val="20"/>
          <w:szCs w:val="20"/>
          <w:color w:val="auto"/>
        </w:rPr>
      </w:pPr>
      <w:r>
        <w:rPr>
          <w:rFonts w:ascii="Courier New" w:cs="Courier New" w:eastAsia="Courier New" w:hAnsi="Courier New"/>
          <w:sz w:val="18"/>
          <w:szCs w:val="18"/>
          <w:color w:val="auto"/>
        </w:rPr>
        <w:t>IA, PN</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CUSIP No.269796108</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Names of Reporting</w:t>
      </w:r>
    </w:p>
    <w:p>
      <w:pPr>
        <w:spacing w:after="0" w:line="238" w:lineRule="auto"/>
        <w:rPr>
          <w:sz w:val="20"/>
          <w:szCs w:val="20"/>
          <w:color w:val="auto"/>
        </w:rPr>
      </w:pPr>
      <w:r>
        <w:rPr>
          <w:rFonts w:ascii="Courier New" w:cs="Courier New" w:eastAsia="Courier New" w:hAnsi="Courier New"/>
          <w:sz w:val="18"/>
          <w:szCs w:val="18"/>
          <w:color w:val="auto"/>
        </w:rPr>
        <w:t>Persons.</w:t>
      </w:r>
    </w:p>
    <w:p>
      <w:pPr>
        <w:spacing w:after="0"/>
        <w:rPr>
          <w:sz w:val="20"/>
          <w:szCs w:val="20"/>
          <w:color w:val="auto"/>
        </w:rPr>
      </w:pPr>
      <w:r>
        <w:rPr>
          <w:rFonts w:ascii="Courier New" w:cs="Courier New" w:eastAsia="Courier New" w:hAnsi="Courier New"/>
          <w:sz w:val="18"/>
          <w:szCs w:val="18"/>
          <w:color w:val="auto"/>
        </w:rPr>
        <w:t>CO-GP, LLC</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I.R.S. Identification Nos. of above</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persons (entities only).</w:t>
      </w:r>
    </w:p>
    <w:p>
      <w:pPr>
        <w:spacing w:after="0"/>
        <w:rPr>
          <w:sz w:val="20"/>
          <w:szCs w:val="20"/>
          <w:color w:val="auto"/>
        </w:rPr>
      </w:pPr>
      <w:r>
        <w:rPr>
          <w:rFonts w:ascii="Courier New" w:cs="Courier New" w:eastAsia="Courier New" w:hAnsi="Courier New"/>
          <w:sz w:val="18"/>
          <w:szCs w:val="18"/>
          <w:color w:val="auto"/>
        </w:rPr>
        <w:t>73-1677697</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Check the Appropriate Box if a Member of a Group (See Instructions)</w:t>
      </w:r>
    </w:p>
    <w:p>
      <w:pPr>
        <w:spacing w:after="0" w:line="192" w:lineRule="exact"/>
        <w:rPr>
          <w:sz w:val="20"/>
          <w:szCs w:val="20"/>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0</w:t>
      </w:r>
    </w:p>
    <w:p>
      <w:pPr>
        <w:spacing w:after="0" w:line="30"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0</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3.</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SEC Use Only</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4.</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Citizenship or Place of</w:t>
      </w:r>
    </w:p>
    <w:p>
      <w:pPr>
        <w:spacing w:after="0" w:line="238" w:lineRule="auto"/>
        <w:rPr>
          <w:sz w:val="20"/>
          <w:szCs w:val="20"/>
          <w:color w:val="auto"/>
        </w:rPr>
      </w:pPr>
      <w:r>
        <w:rPr>
          <w:rFonts w:ascii="Courier New" w:cs="Courier New" w:eastAsia="Courier New" w:hAnsi="Courier New"/>
          <w:sz w:val="18"/>
          <w:szCs w:val="18"/>
          <w:color w:val="auto"/>
        </w:rPr>
        <w:t>Organization</w:t>
      </w:r>
    </w:p>
    <w:p>
      <w:pPr>
        <w:spacing w:after="0"/>
        <w:rPr>
          <w:sz w:val="20"/>
          <w:szCs w:val="20"/>
          <w:color w:val="auto"/>
        </w:rPr>
      </w:pPr>
      <w:r>
        <w:rPr>
          <w:rFonts w:ascii="Courier New" w:cs="Courier New" w:eastAsia="Courier New" w:hAnsi="Courier New"/>
          <w:sz w:val="18"/>
          <w:szCs w:val="18"/>
          <w:color w:val="auto"/>
        </w:rPr>
        <w:t>Delaware</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Number of Shares Beneficially owned by Each</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Reporting Person With:</w:t>
      </w:r>
    </w:p>
    <w:p>
      <w:pPr>
        <w:sectPr>
          <w:pgSz w:w="11900" w:h="16838" w:orient="portrait"/>
          <w:cols w:equalWidth="0" w:num="1">
            <w:col w:w="10139"/>
          </w:cols>
          <w:pgMar w:left="320" w:top="515" w:right="1440" w:bottom="335" w:gutter="0" w:footer="0" w:header="0"/>
        </w:sectPr>
      </w:pPr>
    </w:p>
    <w:bookmarkStart w:id="2" w:name="page3"/>
    <w:bookmarkEnd w:id="2"/>
    <w:p>
      <w:pPr>
        <w:spacing w:after="0"/>
        <w:rPr>
          <w:sz w:val="20"/>
          <w:szCs w:val="20"/>
          <w:color w:val="auto"/>
        </w:rPr>
      </w:pPr>
      <w:r>
        <w:rPr>
          <w:rFonts w:ascii="Courier New" w:cs="Courier New" w:eastAsia="Courier New" w:hAnsi="Courier New"/>
          <w:sz w:val="18"/>
          <w:szCs w:val="18"/>
          <w:color w:val="auto"/>
        </w:rPr>
        <w:t>5.</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Voting Power</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6.</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Voting Power</w:t>
      </w:r>
    </w:p>
    <w:p>
      <w:pPr>
        <w:spacing w:after="0"/>
        <w:rPr>
          <w:sz w:val="20"/>
          <w:szCs w:val="20"/>
          <w:color w:val="auto"/>
        </w:rPr>
      </w:pPr>
      <w:r>
        <w:rPr>
          <w:rFonts w:ascii="Courier New" w:cs="Courier New" w:eastAsia="Courier New" w:hAnsi="Courier New"/>
          <w:sz w:val="18"/>
          <w:szCs w:val="18"/>
          <w:color w:val="auto"/>
        </w:rPr>
        <w:t>0</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7.</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Dispositive</w:t>
      </w:r>
    </w:p>
    <w:p>
      <w:pPr>
        <w:spacing w:after="0"/>
        <w:rPr>
          <w:sz w:val="20"/>
          <w:szCs w:val="20"/>
          <w:color w:val="auto"/>
        </w:rPr>
      </w:pPr>
      <w:r>
        <w:rPr>
          <w:rFonts w:ascii="Courier New" w:cs="Courier New" w:eastAsia="Courier New" w:hAnsi="Courier New"/>
          <w:sz w:val="18"/>
          <w:szCs w:val="18"/>
          <w:color w:val="auto"/>
        </w:rPr>
        <w:t>Power</w:t>
      </w: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8.</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Dispositive</w:t>
      </w:r>
    </w:p>
    <w:p>
      <w:pPr>
        <w:spacing w:after="0" w:line="238" w:lineRule="auto"/>
        <w:rPr>
          <w:sz w:val="20"/>
          <w:szCs w:val="20"/>
          <w:color w:val="auto"/>
        </w:rPr>
      </w:pPr>
      <w:r>
        <w:rPr>
          <w:rFonts w:ascii="Courier New" w:cs="Courier New" w:eastAsia="Courier New" w:hAnsi="Courier New"/>
          <w:sz w:val="18"/>
          <w:szCs w:val="18"/>
          <w:color w:val="auto"/>
        </w:rPr>
        <w:t>Power</w:t>
      </w:r>
    </w:p>
    <w:p>
      <w:pPr>
        <w:spacing w:after="0"/>
        <w:rPr>
          <w:sz w:val="20"/>
          <w:szCs w:val="20"/>
          <w:color w:val="auto"/>
        </w:rPr>
      </w:pPr>
      <w:r>
        <w:rPr>
          <w:rFonts w:ascii="Courier New" w:cs="Courier New" w:eastAsia="Courier New" w:hAnsi="Courier New"/>
          <w:sz w:val="18"/>
          <w:szCs w:val="18"/>
          <w:color w:val="auto"/>
        </w:rPr>
        <w:t>0</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9.</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Aggregate Amount Beneficially Owned by Each</w:t>
      </w:r>
    </w:p>
    <w:p>
      <w:pPr>
        <w:spacing w:after="0" w:line="238" w:lineRule="auto"/>
        <w:rPr>
          <w:sz w:val="20"/>
          <w:szCs w:val="20"/>
          <w:color w:val="auto"/>
        </w:rPr>
      </w:pPr>
      <w:r>
        <w:rPr>
          <w:rFonts w:ascii="Courier New" w:cs="Courier New" w:eastAsia="Courier New" w:hAnsi="Courier New"/>
          <w:sz w:val="18"/>
          <w:szCs w:val="18"/>
          <w:color w:val="auto"/>
        </w:rPr>
        <w:t>Reporting Person</w:t>
      </w:r>
    </w:p>
    <w:p>
      <w:pPr>
        <w:spacing w:after="0" w:line="238" w:lineRule="auto"/>
        <w:rPr>
          <w:sz w:val="20"/>
          <w:szCs w:val="20"/>
          <w:color w:val="auto"/>
        </w:rPr>
      </w:pPr>
      <w:r>
        <w:rPr>
          <w:rFonts w:ascii="Courier New" w:cs="Courier New" w:eastAsia="Courier New" w:hAnsi="Courier New"/>
          <w:sz w:val="18"/>
          <w:szCs w:val="18"/>
          <w:color w:val="auto"/>
        </w:rPr>
        <w:t>0 shares are deemed to be</w:t>
      </w:r>
    </w:p>
    <w:p>
      <w:pPr>
        <w:spacing w:after="0"/>
        <w:rPr>
          <w:sz w:val="20"/>
          <w:szCs w:val="20"/>
          <w:color w:val="auto"/>
        </w:rPr>
      </w:pPr>
      <w:r>
        <w:rPr>
          <w:rFonts w:ascii="Courier New" w:cs="Courier New" w:eastAsia="Courier New" w:hAnsi="Courier New"/>
          <w:sz w:val="18"/>
          <w:szCs w:val="18"/>
          <w:color w:val="auto"/>
        </w:rPr>
        <w:t>beneficially owned by CO-GP, LLC</w:t>
      </w:r>
    </w:p>
    <w:p>
      <w:pPr>
        <w:spacing w:after="0" w:line="238" w:lineRule="auto"/>
        <w:rPr>
          <w:sz w:val="20"/>
          <w:szCs w:val="20"/>
          <w:color w:val="auto"/>
        </w:rPr>
      </w:pPr>
      <w:r>
        <w:rPr>
          <w:rFonts w:ascii="Courier New" w:cs="Courier New" w:eastAsia="Courier New" w:hAnsi="Courier New"/>
          <w:sz w:val="18"/>
          <w:szCs w:val="18"/>
          <w:color w:val="auto"/>
        </w:rPr>
        <w:t>as a control person of the</w:t>
      </w:r>
    </w:p>
    <w:p>
      <w:pPr>
        <w:spacing w:after="0"/>
        <w:tabs>
          <w:tab w:leader="none" w:pos="2200" w:val="left"/>
        </w:tabs>
        <w:rPr>
          <w:sz w:val="20"/>
          <w:szCs w:val="20"/>
          <w:color w:val="auto"/>
        </w:rPr>
      </w:pPr>
      <w:r>
        <w:rPr>
          <w:rFonts w:ascii="Courier New" w:cs="Courier New" w:eastAsia="Courier New" w:hAnsi="Courier New"/>
          <w:sz w:val="18"/>
          <w:szCs w:val="18"/>
          <w:color w:val="auto"/>
        </w:rPr>
        <w:t>investment adviser.</w:t>
      </w:r>
      <w:r>
        <w:rPr>
          <w:sz w:val="20"/>
          <w:szCs w:val="20"/>
          <w:color w:val="auto"/>
        </w:rPr>
        <w:tab/>
      </w:r>
      <w:r>
        <w:rPr>
          <w:rFonts w:ascii="Courier New" w:cs="Courier New" w:eastAsia="Courier New" w:hAnsi="Courier New"/>
          <w:sz w:val="16"/>
          <w:szCs w:val="16"/>
          <w:color w:val="auto"/>
        </w:rPr>
        <w:t>CO-GP, LLC</w:t>
      </w:r>
    </w:p>
    <w:p>
      <w:pPr>
        <w:spacing w:after="0"/>
        <w:rPr>
          <w:sz w:val="20"/>
          <w:szCs w:val="20"/>
          <w:color w:val="auto"/>
        </w:rPr>
      </w:pPr>
      <w:r>
        <w:rPr>
          <w:rFonts w:ascii="Courier New" w:cs="Courier New" w:eastAsia="Courier New" w:hAnsi="Courier New"/>
          <w:sz w:val="18"/>
          <w:szCs w:val="18"/>
          <w:color w:val="auto"/>
        </w:rPr>
        <w:t>disclaims any direct ownership</w:t>
      </w:r>
    </w:p>
    <w:p>
      <w:pPr>
        <w:spacing w:after="0" w:line="238" w:lineRule="auto"/>
        <w:rPr>
          <w:sz w:val="20"/>
          <w:szCs w:val="20"/>
          <w:color w:val="auto"/>
        </w:rPr>
      </w:pPr>
      <w:r>
        <w:rPr>
          <w:rFonts w:ascii="Courier New" w:cs="Courier New" w:eastAsia="Courier New" w:hAnsi="Courier New"/>
          <w:sz w:val="18"/>
          <w:szCs w:val="18"/>
          <w:color w:val="auto"/>
        </w:rPr>
        <w:t>of the shares reported in this</w:t>
      </w:r>
    </w:p>
    <w:p>
      <w:pPr>
        <w:spacing w:after="0" w:line="238" w:lineRule="auto"/>
        <w:rPr>
          <w:sz w:val="20"/>
          <w:szCs w:val="20"/>
          <w:color w:val="auto"/>
        </w:rPr>
      </w:pPr>
      <w:r>
        <w:rPr>
          <w:rFonts w:ascii="Courier New" w:cs="Courier New" w:eastAsia="Courier New" w:hAnsi="Courier New"/>
          <w:sz w:val="18"/>
          <w:szCs w:val="18"/>
          <w:color w:val="auto"/>
        </w:rPr>
        <w:t>Schedule 13G, except for an</w:t>
      </w:r>
    </w:p>
    <w:p>
      <w:pPr>
        <w:spacing w:after="0"/>
        <w:rPr>
          <w:sz w:val="20"/>
          <w:szCs w:val="20"/>
          <w:color w:val="auto"/>
        </w:rPr>
      </w:pPr>
      <w:r>
        <w:rPr>
          <w:rFonts w:ascii="Courier New" w:cs="Courier New" w:eastAsia="Courier New" w:hAnsi="Courier New"/>
          <w:sz w:val="18"/>
          <w:szCs w:val="18"/>
          <w:color w:val="auto"/>
        </w:rPr>
        <w:t>amount that is substantially</w:t>
      </w:r>
    </w:p>
    <w:p>
      <w:pPr>
        <w:spacing w:after="0" w:line="238" w:lineRule="auto"/>
        <w:rPr>
          <w:sz w:val="20"/>
          <w:szCs w:val="20"/>
          <w:color w:val="auto"/>
        </w:rPr>
      </w:pPr>
      <w:r>
        <w:rPr>
          <w:rFonts w:ascii="Courier New" w:cs="Courier New" w:eastAsia="Courier New" w:hAnsi="Courier New"/>
          <w:sz w:val="18"/>
          <w:szCs w:val="18"/>
          <w:color w:val="auto"/>
        </w:rPr>
        <w:t>less than one per cent of the</w:t>
      </w:r>
    </w:p>
    <w:p>
      <w:pPr>
        <w:spacing w:after="0" w:line="238" w:lineRule="auto"/>
        <w:rPr>
          <w:sz w:val="20"/>
          <w:szCs w:val="20"/>
          <w:color w:val="auto"/>
        </w:rPr>
      </w:pPr>
      <w:r>
        <w:rPr>
          <w:rFonts w:ascii="Courier New" w:cs="Courier New" w:eastAsia="Courier New" w:hAnsi="Courier New"/>
          <w:sz w:val="18"/>
          <w:szCs w:val="18"/>
          <w:color w:val="auto"/>
        </w:rPr>
        <w:t>number of shares reported</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herein.</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10.</w:t>
      </w:r>
    </w:p>
    <w:p>
      <w:pPr>
        <w:spacing w:after="0" w:line="31" w:lineRule="exact"/>
        <w:rPr>
          <w:sz w:val="20"/>
          <w:szCs w:val="20"/>
          <w:color w:val="auto"/>
        </w:rPr>
      </w:pPr>
    </w:p>
    <w:p>
      <w:pPr>
        <w:ind w:right="4119"/>
        <w:spacing w:after="0" w:line="238" w:lineRule="auto"/>
        <w:rPr>
          <w:sz w:val="20"/>
          <w:szCs w:val="20"/>
          <w:color w:val="auto"/>
        </w:rPr>
      </w:pPr>
      <w:r>
        <w:rPr>
          <w:rFonts w:ascii="Courier New" w:cs="Courier New" w:eastAsia="Courier New" w:hAnsi="Courier New"/>
          <w:sz w:val="18"/>
          <w:szCs w:val="18"/>
          <w:color w:val="auto"/>
        </w:rPr>
        <w:t>Check if the Aggregate Amount in Row (9) Excludes Certain Shares (See Instructions)</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0</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11.</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Percent of Class Represented by Amount</w:t>
      </w:r>
    </w:p>
    <w:p>
      <w:pPr>
        <w:spacing w:after="0" w:line="238" w:lineRule="auto"/>
        <w:rPr>
          <w:sz w:val="20"/>
          <w:szCs w:val="20"/>
          <w:color w:val="auto"/>
        </w:rPr>
      </w:pPr>
      <w:r>
        <w:rPr>
          <w:rFonts w:ascii="Courier New" w:cs="Courier New" w:eastAsia="Courier New" w:hAnsi="Courier New"/>
          <w:sz w:val="18"/>
          <w:szCs w:val="18"/>
          <w:color w:val="auto"/>
        </w:rPr>
        <w:t>in Row (9)</w:t>
      </w:r>
    </w:p>
    <w:p>
      <w:pPr>
        <w:spacing w:after="0"/>
        <w:rPr>
          <w:sz w:val="20"/>
          <w:szCs w:val="20"/>
          <w:color w:val="auto"/>
        </w:rPr>
      </w:pPr>
      <w:r>
        <w:rPr>
          <w:rFonts w:ascii="Courier New" w:cs="Courier New" w:eastAsia="Courier New" w:hAnsi="Courier New"/>
          <w:sz w:val="18"/>
          <w:szCs w:val="18"/>
          <w:color w:val="auto"/>
        </w:rPr>
        <w:t>0.00 %</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12.</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Type of Reporting Person (See</w:t>
      </w:r>
    </w:p>
    <w:p>
      <w:pPr>
        <w:spacing w:after="0" w:line="238" w:lineRule="auto"/>
        <w:rPr>
          <w:sz w:val="20"/>
          <w:szCs w:val="20"/>
          <w:color w:val="auto"/>
        </w:rPr>
      </w:pPr>
      <w:r>
        <w:rPr>
          <w:rFonts w:ascii="Courier New" w:cs="Courier New" w:eastAsia="Courier New" w:hAnsi="Courier New"/>
          <w:sz w:val="18"/>
          <w:szCs w:val="18"/>
          <w:color w:val="auto"/>
        </w:rPr>
        <w:t>Instructions)</w:t>
      </w:r>
    </w:p>
    <w:p>
      <w:pPr>
        <w:spacing w:after="0" w:line="238" w:lineRule="auto"/>
        <w:rPr>
          <w:sz w:val="20"/>
          <w:szCs w:val="20"/>
          <w:color w:val="auto"/>
        </w:rPr>
      </w:pPr>
      <w:r>
        <w:rPr>
          <w:rFonts w:ascii="Courier New" w:cs="Courier New" w:eastAsia="Courier New" w:hAnsi="Courier New"/>
          <w:sz w:val="18"/>
          <w:szCs w:val="18"/>
          <w:color w:val="auto"/>
        </w:rPr>
        <w:t>CO, OO (Control</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Person)</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CUSIP No.269796108</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Names of Reporting</w:t>
      </w:r>
    </w:p>
    <w:p>
      <w:pPr>
        <w:spacing w:after="0" w:line="238" w:lineRule="auto"/>
        <w:rPr>
          <w:sz w:val="20"/>
          <w:szCs w:val="20"/>
          <w:color w:val="auto"/>
        </w:rPr>
      </w:pPr>
      <w:r>
        <w:rPr>
          <w:rFonts w:ascii="Courier New" w:cs="Courier New" w:eastAsia="Courier New" w:hAnsi="Courier New"/>
          <w:sz w:val="18"/>
          <w:szCs w:val="18"/>
          <w:color w:val="auto"/>
        </w:rPr>
        <w:t>Persons.</w:t>
      </w:r>
    </w:p>
    <w:p>
      <w:pPr>
        <w:spacing w:after="0"/>
        <w:rPr>
          <w:sz w:val="20"/>
          <w:szCs w:val="20"/>
          <w:color w:val="auto"/>
        </w:rPr>
      </w:pPr>
      <w:r>
        <w:rPr>
          <w:rFonts w:ascii="Courier New" w:cs="Courier New" w:eastAsia="Courier New" w:hAnsi="Courier New"/>
          <w:sz w:val="18"/>
          <w:szCs w:val="18"/>
          <w:color w:val="auto"/>
        </w:rPr>
        <w:t>Brandes Worldwide Holdings, L.P.</w:t>
      </w:r>
    </w:p>
    <w:p>
      <w:pPr>
        <w:spacing w:after="0" w:line="169" w:lineRule="exact"/>
        <w:rPr>
          <w:sz w:val="20"/>
          <w:szCs w:val="20"/>
          <w:color w:val="auto"/>
        </w:rPr>
      </w:pPr>
    </w:p>
    <w:p>
      <w:pPr>
        <w:ind w:right="4559"/>
        <w:spacing w:after="0" w:line="257" w:lineRule="auto"/>
        <w:rPr>
          <w:sz w:val="20"/>
          <w:szCs w:val="20"/>
          <w:color w:val="auto"/>
        </w:rPr>
      </w:pPr>
      <w:r>
        <w:rPr>
          <w:rFonts w:ascii="Courier New" w:cs="Courier New" w:eastAsia="Courier New" w:hAnsi="Courier New"/>
          <w:sz w:val="18"/>
          <w:szCs w:val="18"/>
          <w:color w:val="auto"/>
        </w:rPr>
        <w:t>I.R.S. Identification Nos. of above persons (entities only).</w:t>
      </w:r>
    </w:p>
    <w:p>
      <w:pPr>
        <w:spacing w:after="0"/>
        <w:rPr>
          <w:sz w:val="20"/>
          <w:szCs w:val="20"/>
          <w:color w:val="auto"/>
        </w:rPr>
      </w:pPr>
      <w:r>
        <w:rPr>
          <w:rFonts w:ascii="Courier New" w:cs="Courier New" w:eastAsia="Courier New" w:hAnsi="Courier New"/>
          <w:sz w:val="18"/>
          <w:szCs w:val="18"/>
          <w:color w:val="auto"/>
        </w:rPr>
        <w:t>33-0836630</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Check the Appropriate Box if a Member of a Group (See Instructions)</w:t>
      </w:r>
    </w:p>
    <w:p>
      <w:pPr>
        <w:spacing w:after="0" w:line="192" w:lineRule="exact"/>
        <w:rPr>
          <w:sz w:val="20"/>
          <w:szCs w:val="20"/>
          <w:color w:val="auto"/>
        </w:rPr>
      </w:pPr>
    </w:p>
    <w:p>
      <w:pPr>
        <w:ind w:left="420" w:hanging="412"/>
        <w:spacing w:after="0"/>
        <w:tabs>
          <w:tab w:leader="none" w:pos="42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0</w:t>
      </w:r>
    </w:p>
    <w:p>
      <w:pPr>
        <w:spacing w:after="0" w:line="30"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0</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3.</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SEC Use Only</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4.</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Citizenship or Place of</w:t>
      </w:r>
    </w:p>
    <w:p>
      <w:pPr>
        <w:spacing w:after="0" w:line="238" w:lineRule="auto"/>
        <w:rPr>
          <w:sz w:val="20"/>
          <w:szCs w:val="20"/>
          <w:color w:val="auto"/>
        </w:rPr>
      </w:pPr>
      <w:r>
        <w:rPr>
          <w:rFonts w:ascii="Courier New" w:cs="Courier New" w:eastAsia="Courier New" w:hAnsi="Courier New"/>
          <w:sz w:val="18"/>
          <w:szCs w:val="18"/>
          <w:color w:val="auto"/>
        </w:rPr>
        <w:t>Organization</w:t>
      </w:r>
    </w:p>
    <w:p>
      <w:pPr>
        <w:spacing w:after="0"/>
        <w:rPr>
          <w:sz w:val="20"/>
          <w:szCs w:val="20"/>
          <w:color w:val="auto"/>
        </w:rPr>
      </w:pPr>
      <w:r>
        <w:rPr>
          <w:rFonts w:ascii="Courier New" w:cs="Courier New" w:eastAsia="Courier New" w:hAnsi="Courier New"/>
          <w:sz w:val="18"/>
          <w:szCs w:val="18"/>
          <w:color w:val="auto"/>
        </w:rPr>
        <w:t>Delaware</w:t>
      </w:r>
    </w:p>
    <w:p>
      <w:pPr>
        <w:sectPr>
          <w:pgSz w:w="11900" w:h="16838" w:orient="portrait"/>
          <w:cols w:equalWidth="0" w:num="1">
            <w:col w:w="10139"/>
          </w:cols>
          <w:pgMar w:left="320" w:top="110" w:right="1440" w:bottom="0" w:gutter="0" w:footer="0" w:header="0"/>
        </w:sectPr>
      </w:pPr>
    </w:p>
    <w:bookmarkStart w:id="3" w:name="page4"/>
    <w:bookmarkEnd w:id="3"/>
    <w:p>
      <w:pPr>
        <w:spacing w:after="0"/>
        <w:rPr>
          <w:sz w:val="20"/>
          <w:szCs w:val="20"/>
          <w:color w:val="auto"/>
        </w:rPr>
      </w:pPr>
      <w:r>
        <w:rPr>
          <w:rFonts w:ascii="Courier New" w:cs="Courier New" w:eastAsia="Courier New" w:hAnsi="Courier New"/>
          <w:sz w:val="18"/>
          <w:szCs w:val="18"/>
          <w:color w:val="auto"/>
        </w:rPr>
        <w:t>Number of Shares Beneficially owned by Each</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Reporting Person With:</w:t>
      </w: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5.</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Voting Power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6.</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Voting Power</w:t>
      </w:r>
    </w:p>
    <w:p>
      <w:pPr>
        <w:spacing w:after="0"/>
        <w:rPr>
          <w:sz w:val="20"/>
          <w:szCs w:val="20"/>
          <w:color w:val="auto"/>
        </w:rPr>
      </w:pPr>
      <w:r>
        <w:rPr>
          <w:rFonts w:ascii="Courier New" w:cs="Courier New" w:eastAsia="Courier New" w:hAnsi="Courier New"/>
          <w:sz w:val="18"/>
          <w:szCs w:val="18"/>
          <w:color w:val="auto"/>
        </w:rPr>
        <w:t>0</w:t>
      </w: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7.</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Dispositive</w:t>
      </w:r>
    </w:p>
    <w:p>
      <w:pPr>
        <w:spacing w:after="0"/>
        <w:rPr>
          <w:sz w:val="20"/>
          <w:szCs w:val="20"/>
          <w:color w:val="auto"/>
        </w:rPr>
      </w:pPr>
      <w:r>
        <w:rPr>
          <w:rFonts w:ascii="Courier New" w:cs="Courier New" w:eastAsia="Courier New" w:hAnsi="Courier New"/>
          <w:sz w:val="18"/>
          <w:szCs w:val="18"/>
          <w:color w:val="auto"/>
        </w:rPr>
        <w:t>Power</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8.</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Dispositive</w:t>
      </w:r>
    </w:p>
    <w:p>
      <w:pPr>
        <w:spacing w:after="0" w:line="238" w:lineRule="auto"/>
        <w:rPr>
          <w:sz w:val="20"/>
          <w:szCs w:val="20"/>
          <w:color w:val="auto"/>
        </w:rPr>
      </w:pPr>
      <w:r>
        <w:rPr>
          <w:rFonts w:ascii="Courier New" w:cs="Courier New" w:eastAsia="Courier New" w:hAnsi="Courier New"/>
          <w:sz w:val="18"/>
          <w:szCs w:val="18"/>
          <w:color w:val="auto"/>
        </w:rPr>
        <w:t>Power</w:t>
      </w:r>
    </w:p>
    <w:p>
      <w:pPr>
        <w:spacing w:after="0"/>
        <w:rPr>
          <w:sz w:val="20"/>
          <w:szCs w:val="20"/>
          <w:color w:val="auto"/>
        </w:rPr>
      </w:pPr>
      <w:r>
        <w:rPr>
          <w:rFonts w:ascii="Courier New" w:cs="Courier New" w:eastAsia="Courier New" w:hAnsi="Courier New"/>
          <w:sz w:val="18"/>
          <w:szCs w:val="18"/>
          <w:color w:val="auto"/>
        </w:rPr>
        <w:t>0</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9.</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Aggregate Amount Beneficially Owned by Each</w:t>
      </w:r>
    </w:p>
    <w:p>
      <w:pPr>
        <w:spacing w:after="0" w:line="238" w:lineRule="auto"/>
        <w:rPr>
          <w:sz w:val="20"/>
          <w:szCs w:val="20"/>
          <w:color w:val="auto"/>
        </w:rPr>
      </w:pPr>
      <w:r>
        <w:rPr>
          <w:rFonts w:ascii="Courier New" w:cs="Courier New" w:eastAsia="Courier New" w:hAnsi="Courier New"/>
          <w:sz w:val="18"/>
          <w:szCs w:val="18"/>
          <w:color w:val="auto"/>
        </w:rPr>
        <w:t>Reporting Person</w:t>
      </w:r>
    </w:p>
    <w:p>
      <w:pPr>
        <w:ind w:left="120"/>
        <w:spacing w:after="0" w:line="238" w:lineRule="auto"/>
        <w:rPr>
          <w:sz w:val="20"/>
          <w:szCs w:val="20"/>
          <w:color w:val="auto"/>
        </w:rPr>
      </w:pPr>
      <w:r>
        <w:rPr>
          <w:rFonts w:ascii="Courier New" w:cs="Courier New" w:eastAsia="Courier New" w:hAnsi="Courier New"/>
          <w:sz w:val="18"/>
          <w:szCs w:val="18"/>
          <w:color w:val="auto"/>
        </w:rPr>
        <w:t>0 shares are deemed to be</w:t>
      </w:r>
    </w:p>
    <w:p>
      <w:pPr>
        <w:spacing w:after="0"/>
        <w:rPr>
          <w:sz w:val="20"/>
          <w:szCs w:val="20"/>
          <w:color w:val="auto"/>
        </w:rPr>
      </w:pPr>
      <w:r>
        <w:rPr>
          <w:rFonts w:ascii="Courier New" w:cs="Courier New" w:eastAsia="Courier New" w:hAnsi="Courier New"/>
          <w:sz w:val="18"/>
          <w:szCs w:val="18"/>
          <w:color w:val="auto"/>
        </w:rPr>
        <w:t>beneficially owned by Brandes</w:t>
      </w:r>
    </w:p>
    <w:p>
      <w:pPr>
        <w:spacing w:after="0" w:line="238" w:lineRule="auto"/>
        <w:rPr>
          <w:sz w:val="20"/>
          <w:szCs w:val="20"/>
          <w:color w:val="auto"/>
        </w:rPr>
      </w:pPr>
      <w:r>
        <w:rPr>
          <w:rFonts w:ascii="Courier New" w:cs="Courier New" w:eastAsia="Courier New" w:hAnsi="Courier New"/>
          <w:sz w:val="18"/>
          <w:szCs w:val="18"/>
          <w:color w:val="auto"/>
        </w:rPr>
        <w:t>Worldwide Holdings, L.P., as a</w:t>
      </w:r>
    </w:p>
    <w:p>
      <w:pPr>
        <w:spacing w:after="0" w:line="238" w:lineRule="auto"/>
        <w:rPr>
          <w:sz w:val="20"/>
          <w:szCs w:val="20"/>
          <w:color w:val="auto"/>
        </w:rPr>
      </w:pPr>
      <w:r>
        <w:rPr>
          <w:rFonts w:ascii="Courier New" w:cs="Courier New" w:eastAsia="Courier New" w:hAnsi="Courier New"/>
          <w:sz w:val="18"/>
          <w:szCs w:val="18"/>
          <w:color w:val="auto"/>
        </w:rPr>
        <w:t>control person of the</w:t>
      </w:r>
    </w:p>
    <w:p>
      <w:pPr>
        <w:spacing w:after="0"/>
        <w:tabs>
          <w:tab w:leader="none" w:pos="2200" w:val="left"/>
        </w:tabs>
        <w:rPr>
          <w:sz w:val="20"/>
          <w:szCs w:val="20"/>
          <w:color w:val="auto"/>
        </w:rPr>
      </w:pPr>
      <w:r>
        <w:rPr>
          <w:rFonts w:ascii="Courier New" w:cs="Courier New" w:eastAsia="Courier New" w:hAnsi="Courier New"/>
          <w:sz w:val="18"/>
          <w:szCs w:val="18"/>
          <w:color w:val="auto"/>
        </w:rPr>
        <w:t>investment adviser.</w:t>
      </w:r>
      <w:r>
        <w:rPr>
          <w:sz w:val="20"/>
          <w:szCs w:val="20"/>
          <w:color w:val="auto"/>
        </w:rPr>
        <w:tab/>
      </w:r>
      <w:r>
        <w:rPr>
          <w:rFonts w:ascii="Courier New" w:cs="Courier New" w:eastAsia="Courier New" w:hAnsi="Courier New"/>
          <w:sz w:val="16"/>
          <w:szCs w:val="16"/>
          <w:color w:val="auto"/>
        </w:rPr>
        <w:t>Brandes</w:t>
      </w:r>
    </w:p>
    <w:p>
      <w:pPr>
        <w:spacing w:after="0" w:line="238" w:lineRule="auto"/>
        <w:rPr>
          <w:sz w:val="20"/>
          <w:szCs w:val="20"/>
          <w:color w:val="auto"/>
        </w:rPr>
      </w:pPr>
      <w:r>
        <w:rPr>
          <w:rFonts w:ascii="Courier New" w:cs="Courier New" w:eastAsia="Courier New" w:hAnsi="Courier New"/>
          <w:sz w:val="18"/>
          <w:szCs w:val="18"/>
          <w:color w:val="auto"/>
        </w:rPr>
        <w:t>Worldwide Holdings, L.P.</w:t>
      </w:r>
    </w:p>
    <w:p>
      <w:pPr>
        <w:spacing w:after="0" w:line="238" w:lineRule="auto"/>
        <w:rPr>
          <w:sz w:val="20"/>
          <w:szCs w:val="20"/>
          <w:color w:val="auto"/>
        </w:rPr>
      </w:pPr>
      <w:r>
        <w:rPr>
          <w:rFonts w:ascii="Courier New" w:cs="Courier New" w:eastAsia="Courier New" w:hAnsi="Courier New"/>
          <w:sz w:val="18"/>
          <w:szCs w:val="18"/>
          <w:color w:val="auto"/>
        </w:rPr>
        <w:t>disclaims any direct ownership</w:t>
      </w:r>
    </w:p>
    <w:p>
      <w:pPr>
        <w:spacing w:after="0"/>
        <w:rPr>
          <w:sz w:val="20"/>
          <w:szCs w:val="20"/>
          <w:color w:val="auto"/>
        </w:rPr>
      </w:pPr>
      <w:r>
        <w:rPr>
          <w:rFonts w:ascii="Courier New" w:cs="Courier New" w:eastAsia="Courier New" w:hAnsi="Courier New"/>
          <w:sz w:val="18"/>
          <w:szCs w:val="18"/>
          <w:color w:val="auto"/>
        </w:rPr>
        <w:t>of the shares reported in this</w:t>
      </w:r>
    </w:p>
    <w:p>
      <w:pPr>
        <w:spacing w:after="0"/>
        <w:rPr>
          <w:sz w:val="20"/>
          <w:szCs w:val="20"/>
          <w:color w:val="auto"/>
        </w:rPr>
      </w:pPr>
      <w:r>
        <w:rPr>
          <w:rFonts w:ascii="Courier New" w:cs="Courier New" w:eastAsia="Courier New" w:hAnsi="Courier New"/>
          <w:sz w:val="18"/>
          <w:szCs w:val="18"/>
          <w:color w:val="auto"/>
        </w:rPr>
        <w:t>Schedule 13G.</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10.</w:t>
      </w:r>
    </w:p>
    <w:p>
      <w:pPr>
        <w:spacing w:after="0" w:line="31" w:lineRule="exact"/>
        <w:rPr>
          <w:sz w:val="20"/>
          <w:szCs w:val="20"/>
          <w:color w:val="auto"/>
        </w:rPr>
      </w:pPr>
    </w:p>
    <w:p>
      <w:pPr>
        <w:ind w:right="4119"/>
        <w:spacing w:after="0" w:line="238" w:lineRule="auto"/>
        <w:rPr>
          <w:sz w:val="20"/>
          <w:szCs w:val="20"/>
          <w:color w:val="auto"/>
        </w:rPr>
      </w:pPr>
      <w:r>
        <w:rPr>
          <w:rFonts w:ascii="Courier New" w:cs="Courier New" w:eastAsia="Courier New" w:hAnsi="Courier New"/>
          <w:sz w:val="18"/>
          <w:szCs w:val="18"/>
          <w:color w:val="auto"/>
        </w:rPr>
        <w:t>Check if the Aggregate Amount in Row (9) Excludes Certain Shares (See Instructions)</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0</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11.</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Percent of Class Represented by</w:t>
      </w:r>
    </w:p>
    <w:p>
      <w:pPr>
        <w:spacing w:after="0" w:line="238" w:lineRule="auto"/>
        <w:rPr>
          <w:sz w:val="20"/>
          <w:szCs w:val="20"/>
          <w:color w:val="auto"/>
        </w:rPr>
      </w:pPr>
      <w:r>
        <w:rPr>
          <w:rFonts w:ascii="Courier New" w:cs="Courier New" w:eastAsia="Courier New" w:hAnsi="Courier New"/>
          <w:sz w:val="18"/>
          <w:szCs w:val="18"/>
          <w:color w:val="auto"/>
        </w:rPr>
        <w:t>Amount in Row (9)</w:t>
      </w:r>
    </w:p>
    <w:p>
      <w:pPr>
        <w:spacing w:after="0"/>
        <w:rPr>
          <w:sz w:val="20"/>
          <w:szCs w:val="20"/>
          <w:color w:val="auto"/>
        </w:rPr>
      </w:pPr>
      <w:r>
        <w:rPr>
          <w:rFonts w:ascii="Courier New" w:cs="Courier New" w:eastAsia="Courier New" w:hAnsi="Courier New"/>
          <w:sz w:val="18"/>
          <w:szCs w:val="18"/>
          <w:color w:val="auto"/>
        </w:rPr>
        <w:t>0.00 %</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12.</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Type of Reporting Person (See</w:t>
      </w:r>
    </w:p>
    <w:p>
      <w:pPr>
        <w:spacing w:after="0" w:line="238" w:lineRule="auto"/>
        <w:rPr>
          <w:sz w:val="20"/>
          <w:szCs w:val="20"/>
          <w:color w:val="auto"/>
        </w:rPr>
      </w:pPr>
      <w:r>
        <w:rPr>
          <w:rFonts w:ascii="Courier New" w:cs="Courier New" w:eastAsia="Courier New" w:hAnsi="Courier New"/>
          <w:sz w:val="18"/>
          <w:szCs w:val="18"/>
          <w:color w:val="auto"/>
        </w:rPr>
        <w:t>Instructions)</w:t>
      </w:r>
    </w:p>
    <w:p>
      <w:pPr>
        <w:spacing w:after="0" w:line="238" w:lineRule="auto"/>
        <w:rPr>
          <w:sz w:val="20"/>
          <w:szCs w:val="20"/>
          <w:color w:val="auto"/>
        </w:rPr>
      </w:pPr>
      <w:r>
        <w:rPr>
          <w:rFonts w:ascii="Courier New" w:cs="Courier New" w:eastAsia="Courier New" w:hAnsi="Courier New"/>
          <w:sz w:val="18"/>
          <w:szCs w:val="18"/>
          <w:color w:val="auto"/>
        </w:rPr>
        <w:t>PN, OO (Control</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Person)</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CUSIP No.269796108</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Names of Reporting</w:t>
      </w:r>
    </w:p>
    <w:p>
      <w:pPr>
        <w:spacing w:after="0" w:line="238" w:lineRule="auto"/>
        <w:rPr>
          <w:sz w:val="20"/>
          <w:szCs w:val="20"/>
          <w:color w:val="auto"/>
        </w:rPr>
      </w:pPr>
      <w:r>
        <w:rPr>
          <w:rFonts w:ascii="Courier New" w:cs="Courier New" w:eastAsia="Courier New" w:hAnsi="Courier New"/>
          <w:sz w:val="18"/>
          <w:szCs w:val="18"/>
          <w:color w:val="auto"/>
        </w:rPr>
        <w:t>Persons.</w:t>
      </w:r>
    </w:p>
    <w:p>
      <w:pPr>
        <w:spacing w:after="0"/>
        <w:rPr>
          <w:sz w:val="20"/>
          <w:szCs w:val="20"/>
          <w:color w:val="auto"/>
        </w:rPr>
      </w:pPr>
      <w:r>
        <w:rPr>
          <w:rFonts w:ascii="Courier New" w:cs="Courier New" w:eastAsia="Courier New" w:hAnsi="Courier New"/>
          <w:sz w:val="18"/>
          <w:szCs w:val="18"/>
          <w:color w:val="auto"/>
        </w:rPr>
        <w:t>Glenn Carlson</w:t>
      </w:r>
    </w:p>
    <w:p>
      <w:pPr>
        <w:spacing w:after="0" w:line="372" w:lineRule="exact"/>
        <w:rPr>
          <w:sz w:val="20"/>
          <w:szCs w:val="20"/>
          <w:color w:val="auto"/>
        </w:rPr>
      </w:pPr>
    </w:p>
    <w:p>
      <w:pPr>
        <w:ind w:right="4559"/>
        <w:spacing w:after="0" w:line="346" w:lineRule="auto"/>
        <w:rPr>
          <w:sz w:val="20"/>
          <w:szCs w:val="20"/>
          <w:color w:val="auto"/>
        </w:rPr>
      </w:pPr>
      <w:r>
        <w:rPr>
          <w:rFonts w:ascii="Courier New" w:cs="Courier New" w:eastAsia="Courier New" w:hAnsi="Courier New"/>
          <w:sz w:val="18"/>
          <w:szCs w:val="18"/>
          <w:color w:val="auto"/>
        </w:rPr>
        <w:t>I.R.S. Identification Nos. of above persons (entities only).</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Check the Appropriate Box if a Member of a Group (See Instructions)</w:t>
      </w:r>
    </w:p>
    <w:p>
      <w:pPr>
        <w:spacing w:after="0" w:line="192" w:lineRule="exact"/>
        <w:rPr>
          <w:sz w:val="20"/>
          <w:szCs w:val="20"/>
          <w:color w:val="auto"/>
        </w:rPr>
      </w:pPr>
    </w:p>
    <w:p>
      <w:pPr>
        <w:ind w:left="420" w:hanging="412"/>
        <w:spacing w:after="0"/>
        <w:tabs>
          <w:tab w:leader="none" w:pos="4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0</w:t>
      </w:r>
    </w:p>
    <w:p>
      <w:pPr>
        <w:spacing w:after="0" w:line="30"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0</w:t>
      </w:r>
    </w:p>
    <w:p>
      <w:pPr>
        <w:sectPr>
          <w:pgSz w:w="11900" w:h="16838" w:orient="portrait"/>
          <w:cols w:equalWidth="0" w:num="1">
            <w:col w:w="10139"/>
          </w:cols>
          <w:pgMar w:left="320" w:top="515" w:right="1440" w:bottom="133" w:gutter="0" w:footer="0" w:header="0"/>
        </w:sectPr>
      </w:pPr>
    </w:p>
    <w:bookmarkStart w:id="4" w:name="page5"/>
    <w:bookmarkEnd w:id="4"/>
    <w:p>
      <w:pPr>
        <w:spacing w:after="0"/>
        <w:rPr>
          <w:sz w:val="20"/>
          <w:szCs w:val="20"/>
          <w:color w:val="auto"/>
        </w:rPr>
      </w:pPr>
      <w:r>
        <w:rPr>
          <w:rFonts w:ascii="Courier New" w:cs="Courier New" w:eastAsia="Courier New" w:hAnsi="Courier New"/>
          <w:sz w:val="18"/>
          <w:szCs w:val="18"/>
          <w:color w:val="auto"/>
        </w:rPr>
        <w:t>3.</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SEC Use Only</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4.</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Citizenship or Place of</w:t>
      </w:r>
    </w:p>
    <w:p>
      <w:pPr>
        <w:spacing w:after="0" w:line="238" w:lineRule="auto"/>
        <w:rPr>
          <w:sz w:val="20"/>
          <w:szCs w:val="20"/>
          <w:color w:val="auto"/>
        </w:rPr>
      </w:pPr>
      <w:r>
        <w:rPr>
          <w:rFonts w:ascii="Courier New" w:cs="Courier New" w:eastAsia="Courier New" w:hAnsi="Courier New"/>
          <w:sz w:val="18"/>
          <w:szCs w:val="18"/>
          <w:color w:val="auto"/>
        </w:rPr>
        <w:t>Organization</w:t>
      </w:r>
    </w:p>
    <w:p>
      <w:pPr>
        <w:ind w:left="120"/>
        <w:spacing w:after="0"/>
        <w:rPr>
          <w:sz w:val="20"/>
          <w:szCs w:val="20"/>
          <w:color w:val="auto"/>
        </w:rPr>
      </w:pPr>
      <w:r>
        <w:rPr>
          <w:rFonts w:ascii="Courier New" w:cs="Courier New" w:eastAsia="Courier New" w:hAnsi="Courier New"/>
          <w:sz w:val="18"/>
          <w:szCs w:val="18"/>
          <w:color w:val="auto"/>
        </w:rPr>
        <w:t>USA</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Number of Shares Beneficially owned by Each</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Reporting Person With:</w:t>
      </w: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5.</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Voting Power</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6.</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Voting Power</w:t>
      </w:r>
    </w:p>
    <w:p>
      <w:pPr>
        <w:spacing w:after="0"/>
        <w:rPr>
          <w:sz w:val="20"/>
          <w:szCs w:val="20"/>
          <w:color w:val="auto"/>
        </w:rPr>
      </w:pPr>
      <w:r>
        <w:rPr>
          <w:rFonts w:ascii="Courier New" w:cs="Courier New" w:eastAsia="Courier New" w:hAnsi="Courier New"/>
          <w:sz w:val="18"/>
          <w:szCs w:val="18"/>
          <w:color w:val="auto"/>
        </w:rPr>
        <w:t>0</w:t>
      </w: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7.</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Dispositive</w:t>
      </w:r>
    </w:p>
    <w:p>
      <w:pPr>
        <w:spacing w:after="0"/>
        <w:rPr>
          <w:sz w:val="20"/>
          <w:szCs w:val="20"/>
          <w:color w:val="auto"/>
        </w:rPr>
      </w:pPr>
      <w:r>
        <w:rPr>
          <w:rFonts w:ascii="Courier New" w:cs="Courier New" w:eastAsia="Courier New" w:hAnsi="Courier New"/>
          <w:sz w:val="18"/>
          <w:szCs w:val="18"/>
          <w:color w:val="auto"/>
        </w:rPr>
        <w:t>Power</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8.</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Dispositive</w:t>
      </w:r>
    </w:p>
    <w:p>
      <w:pPr>
        <w:spacing w:after="0" w:line="238" w:lineRule="auto"/>
        <w:rPr>
          <w:sz w:val="20"/>
          <w:szCs w:val="20"/>
          <w:color w:val="auto"/>
        </w:rPr>
      </w:pPr>
      <w:r>
        <w:rPr>
          <w:rFonts w:ascii="Courier New" w:cs="Courier New" w:eastAsia="Courier New" w:hAnsi="Courier New"/>
          <w:sz w:val="18"/>
          <w:szCs w:val="18"/>
          <w:color w:val="auto"/>
        </w:rPr>
        <w:t>Power</w:t>
      </w:r>
    </w:p>
    <w:p>
      <w:pPr>
        <w:spacing w:after="0"/>
        <w:rPr>
          <w:sz w:val="20"/>
          <w:szCs w:val="20"/>
          <w:color w:val="auto"/>
        </w:rPr>
      </w:pPr>
      <w:r>
        <w:rPr>
          <w:rFonts w:ascii="Courier New" w:cs="Courier New" w:eastAsia="Courier New" w:hAnsi="Courier New"/>
          <w:sz w:val="18"/>
          <w:szCs w:val="18"/>
          <w:color w:val="auto"/>
        </w:rPr>
        <w:t>0</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9.</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Aggregate Amount Beneficially Owned by Each</w:t>
      </w:r>
    </w:p>
    <w:p>
      <w:pPr>
        <w:spacing w:after="0" w:line="238" w:lineRule="auto"/>
        <w:rPr>
          <w:sz w:val="20"/>
          <w:szCs w:val="20"/>
          <w:color w:val="auto"/>
        </w:rPr>
      </w:pPr>
      <w:r>
        <w:rPr>
          <w:rFonts w:ascii="Courier New" w:cs="Courier New" w:eastAsia="Courier New" w:hAnsi="Courier New"/>
          <w:sz w:val="18"/>
          <w:szCs w:val="18"/>
          <w:color w:val="auto"/>
        </w:rPr>
        <w:t>Reporting Person</w:t>
      </w:r>
    </w:p>
    <w:p>
      <w:pPr>
        <w:spacing w:after="0" w:line="238" w:lineRule="auto"/>
        <w:rPr>
          <w:sz w:val="20"/>
          <w:szCs w:val="20"/>
          <w:color w:val="auto"/>
        </w:rPr>
      </w:pPr>
      <w:r>
        <w:rPr>
          <w:rFonts w:ascii="Courier New" w:cs="Courier New" w:eastAsia="Courier New" w:hAnsi="Courier New"/>
          <w:sz w:val="18"/>
          <w:szCs w:val="18"/>
          <w:color w:val="auto"/>
        </w:rPr>
        <w:t>0 shares are deemed to be</w:t>
      </w:r>
    </w:p>
    <w:p>
      <w:pPr>
        <w:spacing w:after="0"/>
        <w:rPr>
          <w:sz w:val="20"/>
          <w:szCs w:val="20"/>
          <w:color w:val="auto"/>
        </w:rPr>
      </w:pPr>
      <w:r>
        <w:rPr>
          <w:rFonts w:ascii="Courier New" w:cs="Courier New" w:eastAsia="Courier New" w:hAnsi="Courier New"/>
          <w:sz w:val="18"/>
          <w:szCs w:val="18"/>
          <w:color w:val="auto"/>
        </w:rPr>
        <w:t>beneficially owned by Glenn</w:t>
      </w:r>
    </w:p>
    <w:p>
      <w:pPr>
        <w:spacing w:after="0" w:line="238" w:lineRule="auto"/>
        <w:rPr>
          <w:sz w:val="20"/>
          <w:szCs w:val="20"/>
          <w:color w:val="auto"/>
        </w:rPr>
      </w:pPr>
      <w:r>
        <w:rPr>
          <w:rFonts w:ascii="Courier New" w:cs="Courier New" w:eastAsia="Courier New" w:hAnsi="Courier New"/>
          <w:sz w:val="18"/>
          <w:szCs w:val="18"/>
          <w:color w:val="auto"/>
        </w:rPr>
        <w:t>Carlson, a control person of</w:t>
      </w:r>
    </w:p>
    <w:p>
      <w:pPr>
        <w:spacing w:after="0"/>
        <w:tabs>
          <w:tab w:leader="none" w:pos="2620" w:val="left"/>
        </w:tabs>
        <w:rPr>
          <w:sz w:val="20"/>
          <w:szCs w:val="20"/>
          <w:color w:val="auto"/>
        </w:rPr>
      </w:pPr>
      <w:r>
        <w:rPr>
          <w:rFonts w:ascii="Courier New" w:cs="Courier New" w:eastAsia="Courier New" w:hAnsi="Courier New"/>
          <w:sz w:val="18"/>
          <w:szCs w:val="18"/>
          <w:color w:val="auto"/>
        </w:rPr>
        <w:t>the investment adviser.</w:t>
      </w:r>
      <w:r>
        <w:rPr>
          <w:sz w:val="20"/>
          <w:szCs w:val="20"/>
          <w:color w:val="auto"/>
        </w:rPr>
        <w:tab/>
      </w:r>
      <w:r>
        <w:rPr>
          <w:rFonts w:ascii="Courier New" w:cs="Courier New" w:eastAsia="Courier New" w:hAnsi="Courier New"/>
          <w:sz w:val="16"/>
          <w:szCs w:val="16"/>
          <w:color w:val="auto"/>
        </w:rPr>
        <w:t>Mr.</w:t>
      </w:r>
    </w:p>
    <w:p>
      <w:pPr>
        <w:spacing w:after="0"/>
        <w:rPr>
          <w:sz w:val="20"/>
          <w:szCs w:val="20"/>
          <w:color w:val="auto"/>
        </w:rPr>
      </w:pPr>
      <w:r>
        <w:rPr>
          <w:rFonts w:ascii="Courier New" w:cs="Courier New" w:eastAsia="Courier New" w:hAnsi="Courier New"/>
          <w:sz w:val="18"/>
          <w:szCs w:val="18"/>
          <w:color w:val="auto"/>
        </w:rPr>
        <w:t>Carlson disclaims any direct</w:t>
      </w:r>
    </w:p>
    <w:p>
      <w:pPr>
        <w:spacing w:after="0" w:line="238" w:lineRule="auto"/>
        <w:rPr>
          <w:sz w:val="20"/>
          <w:szCs w:val="20"/>
          <w:color w:val="auto"/>
        </w:rPr>
      </w:pPr>
      <w:r>
        <w:rPr>
          <w:rFonts w:ascii="Courier New" w:cs="Courier New" w:eastAsia="Courier New" w:hAnsi="Courier New"/>
          <w:sz w:val="18"/>
          <w:szCs w:val="18"/>
          <w:color w:val="auto"/>
        </w:rPr>
        <w:t>ownership of the shares</w:t>
      </w:r>
    </w:p>
    <w:p>
      <w:pPr>
        <w:spacing w:after="0" w:line="238" w:lineRule="auto"/>
        <w:rPr>
          <w:sz w:val="20"/>
          <w:szCs w:val="20"/>
          <w:color w:val="auto"/>
        </w:rPr>
      </w:pPr>
      <w:r>
        <w:rPr>
          <w:rFonts w:ascii="Courier New" w:cs="Courier New" w:eastAsia="Courier New" w:hAnsi="Courier New"/>
          <w:sz w:val="18"/>
          <w:szCs w:val="18"/>
          <w:color w:val="auto"/>
        </w:rPr>
        <w:t>reported in Schedule 13G,</w:t>
      </w:r>
    </w:p>
    <w:p>
      <w:pPr>
        <w:spacing w:after="0"/>
        <w:rPr>
          <w:sz w:val="20"/>
          <w:szCs w:val="20"/>
          <w:color w:val="auto"/>
        </w:rPr>
      </w:pPr>
      <w:r>
        <w:rPr>
          <w:rFonts w:ascii="Courier New" w:cs="Courier New" w:eastAsia="Courier New" w:hAnsi="Courier New"/>
          <w:sz w:val="18"/>
          <w:szCs w:val="18"/>
          <w:color w:val="auto"/>
        </w:rPr>
        <w:t>except for the amount that is</w:t>
      </w:r>
    </w:p>
    <w:p>
      <w:pPr>
        <w:spacing w:after="0" w:line="238" w:lineRule="auto"/>
        <w:rPr>
          <w:sz w:val="20"/>
          <w:szCs w:val="20"/>
          <w:color w:val="auto"/>
        </w:rPr>
      </w:pPr>
      <w:r>
        <w:rPr>
          <w:rFonts w:ascii="Courier New" w:cs="Courier New" w:eastAsia="Courier New" w:hAnsi="Courier New"/>
          <w:sz w:val="18"/>
          <w:szCs w:val="18"/>
          <w:color w:val="auto"/>
        </w:rPr>
        <w:t>substantially less than one per</w:t>
      </w:r>
    </w:p>
    <w:p>
      <w:pPr>
        <w:spacing w:after="0" w:line="238" w:lineRule="auto"/>
        <w:rPr>
          <w:sz w:val="20"/>
          <w:szCs w:val="20"/>
          <w:color w:val="auto"/>
        </w:rPr>
      </w:pPr>
      <w:r>
        <w:rPr>
          <w:rFonts w:ascii="Courier New" w:cs="Courier New" w:eastAsia="Courier New" w:hAnsi="Courier New"/>
          <w:sz w:val="18"/>
          <w:szCs w:val="18"/>
          <w:color w:val="auto"/>
        </w:rPr>
        <w:t>cent of the number of shares</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reported herein.</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10.</w:t>
      </w:r>
    </w:p>
    <w:p>
      <w:pPr>
        <w:spacing w:after="0" w:line="31" w:lineRule="exact"/>
        <w:rPr>
          <w:sz w:val="20"/>
          <w:szCs w:val="20"/>
          <w:color w:val="auto"/>
        </w:rPr>
      </w:pPr>
    </w:p>
    <w:p>
      <w:pPr>
        <w:ind w:right="4119"/>
        <w:spacing w:after="0" w:line="238" w:lineRule="auto"/>
        <w:rPr>
          <w:sz w:val="20"/>
          <w:szCs w:val="20"/>
          <w:color w:val="auto"/>
        </w:rPr>
      </w:pPr>
      <w:r>
        <w:rPr>
          <w:rFonts w:ascii="Courier New" w:cs="Courier New" w:eastAsia="Courier New" w:hAnsi="Courier New"/>
          <w:sz w:val="18"/>
          <w:szCs w:val="18"/>
          <w:color w:val="auto"/>
        </w:rPr>
        <w:t>Check if the Aggregate Amount in Row (9) Excludes Certain Shares (See Instructions)</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0</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11.</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Percent of Class Represented by</w:t>
      </w:r>
    </w:p>
    <w:p>
      <w:pPr>
        <w:spacing w:after="0" w:line="238" w:lineRule="auto"/>
        <w:rPr>
          <w:sz w:val="20"/>
          <w:szCs w:val="20"/>
          <w:color w:val="auto"/>
        </w:rPr>
      </w:pPr>
      <w:r>
        <w:rPr>
          <w:rFonts w:ascii="Courier New" w:cs="Courier New" w:eastAsia="Courier New" w:hAnsi="Courier New"/>
          <w:sz w:val="18"/>
          <w:szCs w:val="18"/>
          <w:color w:val="auto"/>
        </w:rPr>
        <w:t>Amount in Row (9)</w:t>
      </w:r>
    </w:p>
    <w:p>
      <w:pPr>
        <w:spacing w:after="0"/>
        <w:rPr>
          <w:sz w:val="20"/>
          <w:szCs w:val="20"/>
          <w:color w:val="auto"/>
        </w:rPr>
      </w:pPr>
      <w:r>
        <w:rPr>
          <w:rFonts w:ascii="Courier New" w:cs="Courier New" w:eastAsia="Courier New" w:hAnsi="Courier New"/>
          <w:sz w:val="18"/>
          <w:szCs w:val="18"/>
          <w:color w:val="auto"/>
        </w:rPr>
        <w:t>0.00 %</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12.</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Type of Reporting Person (See</w:t>
      </w:r>
    </w:p>
    <w:p>
      <w:pPr>
        <w:spacing w:after="0" w:line="238" w:lineRule="auto"/>
        <w:rPr>
          <w:sz w:val="20"/>
          <w:szCs w:val="20"/>
          <w:color w:val="auto"/>
        </w:rPr>
      </w:pPr>
      <w:r>
        <w:rPr>
          <w:rFonts w:ascii="Courier New" w:cs="Courier New" w:eastAsia="Courier New" w:hAnsi="Courier New"/>
          <w:sz w:val="18"/>
          <w:szCs w:val="18"/>
          <w:color w:val="auto"/>
        </w:rPr>
        <w:t>Instructions)</w:t>
      </w:r>
    </w:p>
    <w:p>
      <w:pPr>
        <w:spacing w:after="0" w:line="238" w:lineRule="auto"/>
        <w:rPr>
          <w:sz w:val="20"/>
          <w:szCs w:val="20"/>
          <w:color w:val="auto"/>
        </w:rPr>
      </w:pPr>
      <w:r>
        <w:rPr>
          <w:rFonts w:ascii="Courier New" w:cs="Courier New" w:eastAsia="Courier New" w:hAnsi="Courier New"/>
          <w:sz w:val="18"/>
          <w:szCs w:val="18"/>
          <w:color w:val="auto"/>
        </w:rPr>
        <w:t>IN, OO (Control</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Person)</w:t>
      </w:r>
    </w:p>
    <w:p>
      <w:pPr>
        <w:spacing w:after="0" w:line="200" w:lineRule="exact"/>
        <w:rPr>
          <w:sz w:val="20"/>
          <w:szCs w:val="20"/>
          <w:color w:val="auto"/>
        </w:rPr>
      </w:pPr>
    </w:p>
    <w:p>
      <w:pPr>
        <w:spacing w:after="0" w:line="374"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1(a)</w:t>
      </w:r>
      <w:r>
        <w:rPr>
          <w:sz w:val="20"/>
          <w:szCs w:val="20"/>
          <w:color w:val="auto"/>
        </w:rPr>
        <w:tab/>
      </w:r>
      <w:r>
        <w:rPr>
          <w:rFonts w:ascii="Courier New" w:cs="Courier New" w:eastAsia="Courier New" w:hAnsi="Courier New"/>
          <w:sz w:val="16"/>
          <w:szCs w:val="16"/>
          <w:color w:val="auto"/>
        </w:rPr>
        <w:t>Name of Issuer:</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Eagle Pharmaceuticals Inc.</w:t>
      </w:r>
    </w:p>
    <w:p>
      <w:pPr>
        <w:spacing w:after="0" w:line="169"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1(b)</w:t>
      </w:r>
      <w:r>
        <w:rPr>
          <w:sz w:val="20"/>
          <w:szCs w:val="20"/>
          <w:color w:val="auto"/>
        </w:rPr>
        <w:tab/>
      </w:r>
      <w:r>
        <w:rPr>
          <w:rFonts w:ascii="Courier New" w:cs="Courier New" w:eastAsia="Courier New" w:hAnsi="Courier New"/>
          <w:sz w:val="16"/>
          <w:szCs w:val="16"/>
          <w:color w:val="auto"/>
        </w:rPr>
        <w:t>Address of Issuers Principal Executive</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Offices:</w:t>
      </w:r>
    </w:p>
    <w:p>
      <w:pPr>
        <w:spacing w:after="0" w:line="238" w:lineRule="auto"/>
        <w:rPr>
          <w:sz w:val="20"/>
          <w:szCs w:val="20"/>
          <w:color w:val="auto"/>
        </w:rPr>
      </w:pPr>
      <w:r>
        <w:rPr>
          <w:rFonts w:ascii="Courier New" w:cs="Courier New" w:eastAsia="Courier New" w:hAnsi="Courier New"/>
          <w:sz w:val="18"/>
          <w:szCs w:val="18"/>
          <w:color w:val="auto"/>
        </w:rPr>
        <w:t>50 Tice Boulevard, Suite 315, Woodcliff</w:t>
      </w:r>
    </w:p>
    <w:p>
      <w:pPr>
        <w:spacing w:after="0"/>
        <w:rPr>
          <w:sz w:val="20"/>
          <w:szCs w:val="20"/>
          <w:color w:val="auto"/>
        </w:rPr>
      </w:pPr>
      <w:r>
        <w:rPr>
          <w:rFonts w:ascii="Courier New" w:cs="Courier New" w:eastAsia="Courier New" w:hAnsi="Courier New"/>
          <w:sz w:val="18"/>
          <w:szCs w:val="18"/>
          <w:color w:val="auto"/>
        </w:rPr>
        <w:t>Lake, NJ 07677</w:t>
      </w:r>
    </w:p>
    <w:p>
      <w:pPr>
        <w:sectPr>
          <w:pgSz w:w="11900" w:h="16838" w:orient="portrait"/>
          <w:cols w:equalWidth="0" w:num="1">
            <w:col w:w="10139"/>
          </w:cols>
          <w:pgMar w:left="320" w:top="110" w:right="1440" w:bottom="0" w:gutter="0" w:footer="0" w:header="0"/>
        </w:sectPr>
      </w:pPr>
    </w:p>
    <w:bookmarkStart w:id="5" w:name="page6"/>
    <w:bookmarkEnd w:id="5"/>
    <w:p>
      <w:pPr>
        <w:spacing w:after="0" w:line="26"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2(a)</w:t>
      </w:r>
      <w:r>
        <w:rPr>
          <w:sz w:val="20"/>
          <w:szCs w:val="20"/>
          <w:color w:val="auto"/>
        </w:rPr>
        <w:tab/>
      </w:r>
      <w:r>
        <w:rPr>
          <w:rFonts w:ascii="Courier New" w:cs="Courier New" w:eastAsia="Courier New" w:hAnsi="Courier New"/>
          <w:sz w:val="16"/>
          <w:szCs w:val="16"/>
          <w:color w:val="auto"/>
        </w:rPr>
        <w:t>Name of Person Filing:</w:t>
      </w:r>
    </w:p>
    <w:p>
      <w:pPr>
        <w:spacing w:after="0" w:line="29" w:lineRule="exact"/>
        <w:rPr>
          <w:sz w:val="20"/>
          <w:szCs w:val="20"/>
          <w:color w:val="auto"/>
        </w:rPr>
      </w:pPr>
    </w:p>
    <w:p>
      <w:pPr>
        <w:ind w:left="860" w:hanging="852"/>
        <w:spacing w:after="0"/>
        <w:tabs>
          <w:tab w:leader="none" w:pos="86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Brandes Investment Partners, L.P.</w:t>
      </w:r>
    </w:p>
    <w:p>
      <w:pPr>
        <w:ind w:left="860" w:hanging="852"/>
        <w:spacing w:after="0" w:line="238" w:lineRule="auto"/>
        <w:tabs>
          <w:tab w:leader="none" w:pos="86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CO-GP, LLC.</w:t>
      </w:r>
    </w:p>
    <w:p>
      <w:pPr>
        <w:ind w:left="860" w:hanging="852"/>
        <w:spacing w:after="0" w:line="238" w:lineRule="auto"/>
        <w:tabs>
          <w:tab w:leader="none" w:pos="86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Brandes Worldwide Holdings, L.P.</w:t>
      </w:r>
    </w:p>
    <w:p>
      <w:pPr>
        <w:ind w:left="860" w:hanging="852"/>
        <w:spacing w:after="0"/>
        <w:tabs>
          <w:tab w:leader="none" w:pos="86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Glenn Carlson</w:t>
      </w:r>
    </w:p>
    <w:p>
      <w:pPr>
        <w:spacing w:after="0" w:line="169" w:lineRule="exact"/>
        <w:rPr>
          <w:sz w:val="20"/>
          <w:szCs w:val="20"/>
          <w:color w:val="auto"/>
        </w:rPr>
      </w:pPr>
    </w:p>
    <w:p>
      <w:pPr>
        <w:ind w:right="4239"/>
        <w:spacing w:after="0" w:line="257" w:lineRule="auto"/>
        <w:rPr>
          <w:sz w:val="20"/>
          <w:szCs w:val="20"/>
          <w:color w:val="auto"/>
        </w:rPr>
      </w:pPr>
      <w:r>
        <w:rPr>
          <w:rFonts w:ascii="Courier New" w:cs="Courier New" w:eastAsia="Courier New" w:hAnsi="Courier New"/>
          <w:sz w:val="18"/>
          <w:szCs w:val="18"/>
          <w:color w:val="auto"/>
        </w:rPr>
        <w:t>Item 2(b) Address of Principal Business office or, if None, Residence:</w:t>
      </w:r>
    </w:p>
    <w:p>
      <w:pPr>
        <w:ind w:right="5499" w:firstLine="8"/>
        <w:spacing w:after="0" w:line="238" w:lineRule="auto"/>
        <w:tabs>
          <w:tab w:leader="none" w:pos="843"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4275 Executive Square, 5th Floor, La Jolla, CA 92037</w:t>
      </w:r>
    </w:p>
    <w:p>
      <w:pPr>
        <w:ind w:right="5499" w:firstLine="8"/>
        <w:spacing w:after="0" w:line="238" w:lineRule="auto"/>
        <w:tabs>
          <w:tab w:leader="none" w:pos="843"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4275 Executive Square, 5th Floor, La Jolla, CA 92037</w:t>
      </w:r>
    </w:p>
    <w:p>
      <w:pPr>
        <w:ind w:left="860" w:hanging="852"/>
        <w:spacing w:after="0"/>
        <w:tabs>
          <w:tab w:leader="none" w:pos="86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4275 Executive Square, 5th Floor,</w:t>
      </w:r>
    </w:p>
    <w:p>
      <w:pPr>
        <w:spacing w:after="0" w:line="169" w:lineRule="exact"/>
        <w:rPr>
          <w:sz w:val="20"/>
          <w:szCs w:val="20"/>
          <w:color w:val="auto"/>
        </w:rPr>
      </w:pPr>
    </w:p>
    <w:p>
      <w:pPr>
        <w:ind w:right="5499" w:firstLine="8"/>
        <w:spacing w:after="0" w:line="346" w:lineRule="auto"/>
        <w:tabs>
          <w:tab w:leader="none" w:pos="843"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4275 Executive Square, 5th Floor, La Jolla, CA 92037</w:t>
      </w:r>
    </w:p>
    <w:p>
      <w:pPr>
        <w:spacing w:after="0" w:line="20"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2(c)</w:t>
      </w:r>
      <w:r>
        <w:rPr>
          <w:sz w:val="20"/>
          <w:szCs w:val="20"/>
          <w:color w:val="auto"/>
        </w:rPr>
        <w:tab/>
      </w:r>
      <w:r>
        <w:rPr>
          <w:rFonts w:ascii="Courier New" w:cs="Courier New" w:eastAsia="Courier New" w:hAnsi="Courier New"/>
          <w:sz w:val="16"/>
          <w:szCs w:val="16"/>
          <w:color w:val="auto"/>
        </w:rPr>
        <w:t>Citizenship</w:t>
      </w:r>
    </w:p>
    <w:p>
      <w:pPr>
        <w:spacing w:after="0" w:line="29" w:lineRule="exact"/>
        <w:rPr>
          <w:sz w:val="20"/>
          <w:szCs w:val="20"/>
          <w:color w:val="auto"/>
        </w:rPr>
      </w:pPr>
    </w:p>
    <w:p>
      <w:pPr>
        <w:ind w:left="860" w:hanging="852"/>
        <w:spacing w:after="0"/>
        <w:tabs>
          <w:tab w:leader="none" w:pos="86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Delaware</w:t>
      </w:r>
    </w:p>
    <w:p>
      <w:pPr>
        <w:ind w:left="860" w:hanging="852"/>
        <w:spacing w:after="0" w:line="238" w:lineRule="auto"/>
        <w:tabs>
          <w:tab w:leader="none" w:pos="86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Delaware</w:t>
      </w:r>
    </w:p>
    <w:p>
      <w:pPr>
        <w:ind w:left="860" w:hanging="852"/>
        <w:spacing w:after="0" w:line="238" w:lineRule="auto"/>
        <w:tabs>
          <w:tab w:leader="none" w:pos="86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Delaware</w:t>
      </w:r>
    </w:p>
    <w:p>
      <w:pPr>
        <w:ind w:left="860" w:hanging="852"/>
        <w:spacing w:after="0"/>
        <w:tabs>
          <w:tab w:leader="none" w:pos="86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USA</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80" w:type="dxa"/>
            <w:vAlign w:val="bottom"/>
          </w:tcPr>
          <w:p>
            <w:pPr>
              <w:spacing w:after="0"/>
              <w:rPr>
                <w:sz w:val="20"/>
                <w:szCs w:val="20"/>
                <w:color w:val="auto"/>
              </w:rPr>
            </w:pPr>
            <w:r>
              <w:rPr>
                <w:rFonts w:ascii="Courier New" w:cs="Courier New" w:eastAsia="Courier New" w:hAnsi="Courier New"/>
                <w:sz w:val="18"/>
                <w:szCs w:val="18"/>
                <w:color w:val="auto"/>
              </w:rPr>
              <w:t>Item</w:t>
            </w:r>
          </w:p>
        </w:tc>
        <w:tc>
          <w:tcPr>
            <w:tcW w:w="1060" w:type="dxa"/>
            <w:vAlign w:val="bottom"/>
          </w:tcPr>
          <w:p>
            <w:pPr>
              <w:jc w:val="right"/>
              <w:ind w:right="492"/>
              <w:spacing w:after="0"/>
              <w:rPr>
                <w:sz w:val="20"/>
                <w:szCs w:val="20"/>
                <w:color w:val="auto"/>
              </w:rPr>
            </w:pPr>
            <w:r>
              <w:rPr>
                <w:rFonts w:ascii="Courier New" w:cs="Courier New" w:eastAsia="Courier New" w:hAnsi="Courier New"/>
                <w:sz w:val="18"/>
                <w:szCs w:val="18"/>
                <w:color w:val="auto"/>
              </w:rPr>
              <w:t>2(d)</w:t>
            </w:r>
          </w:p>
        </w:tc>
        <w:tc>
          <w:tcPr>
            <w:tcW w:w="2900" w:type="dxa"/>
            <w:vAlign w:val="bottom"/>
          </w:tcPr>
          <w:p>
            <w:pPr>
              <w:ind w:left="160"/>
              <w:spacing w:after="0"/>
              <w:rPr>
                <w:sz w:val="20"/>
                <w:szCs w:val="20"/>
                <w:color w:val="auto"/>
              </w:rPr>
            </w:pPr>
            <w:r>
              <w:rPr>
                <w:rFonts w:ascii="Courier New" w:cs="Courier New" w:eastAsia="Courier New" w:hAnsi="Courier New"/>
                <w:sz w:val="18"/>
                <w:szCs w:val="18"/>
                <w:color w:val="auto"/>
                <w:w w:val="96"/>
              </w:rPr>
              <w:t>Title of Class Securities:</w:t>
            </w:r>
          </w:p>
        </w:tc>
      </w:tr>
      <w:tr>
        <w:trPr>
          <w:trHeight w:val="296"/>
        </w:trPr>
        <w:tc>
          <w:tcPr>
            <w:tcW w:w="1540" w:type="dxa"/>
            <w:vAlign w:val="bottom"/>
            <w:gridSpan w:val="2"/>
          </w:tcPr>
          <w:p>
            <w:pPr>
              <w:spacing w:after="0"/>
              <w:rPr>
                <w:sz w:val="20"/>
                <w:szCs w:val="20"/>
                <w:color w:val="auto"/>
              </w:rPr>
            </w:pPr>
            <w:r>
              <w:rPr>
                <w:rFonts w:ascii="Courier New" w:cs="Courier New" w:eastAsia="Courier New" w:hAnsi="Courier New"/>
                <w:sz w:val="18"/>
                <w:szCs w:val="18"/>
                <w:color w:val="auto"/>
              </w:rPr>
              <w:t>Common Shares</w:t>
            </w:r>
          </w:p>
        </w:tc>
        <w:tc>
          <w:tcPr>
            <w:tcW w:w="2900" w:type="dxa"/>
            <w:vAlign w:val="bottom"/>
          </w:tcPr>
          <w:p>
            <w:pPr>
              <w:spacing w:after="0"/>
              <w:rPr>
                <w:sz w:val="24"/>
                <w:szCs w:val="24"/>
                <w:color w:val="auto"/>
              </w:rPr>
            </w:pPr>
          </w:p>
        </w:tc>
      </w:tr>
      <w:tr>
        <w:trPr>
          <w:trHeight w:val="311"/>
        </w:trPr>
        <w:tc>
          <w:tcPr>
            <w:tcW w:w="480" w:type="dxa"/>
            <w:vAlign w:val="bottom"/>
          </w:tcPr>
          <w:p>
            <w:pPr>
              <w:spacing w:after="0"/>
              <w:rPr>
                <w:sz w:val="20"/>
                <w:szCs w:val="20"/>
                <w:color w:val="auto"/>
              </w:rPr>
            </w:pPr>
            <w:r>
              <w:rPr>
                <w:rFonts w:ascii="Courier New" w:cs="Courier New" w:eastAsia="Courier New" w:hAnsi="Courier New"/>
                <w:sz w:val="18"/>
                <w:szCs w:val="18"/>
                <w:color w:val="auto"/>
              </w:rPr>
              <w:t>Item</w:t>
            </w:r>
          </w:p>
        </w:tc>
        <w:tc>
          <w:tcPr>
            <w:tcW w:w="1060" w:type="dxa"/>
            <w:vAlign w:val="bottom"/>
          </w:tcPr>
          <w:p>
            <w:pPr>
              <w:jc w:val="right"/>
              <w:ind w:right="492"/>
              <w:spacing w:after="0"/>
              <w:rPr>
                <w:sz w:val="20"/>
                <w:szCs w:val="20"/>
                <w:color w:val="auto"/>
              </w:rPr>
            </w:pPr>
            <w:r>
              <w:rPr>
                <w:rFonts w:ascii="Courier New" w:cs="Courier New" w:eastAsia="Courier New" w:hAnsi="Courier New"/>
                <w:sz w:val="18"/>
                <w:szCs w:val="18"/>
                <w:color w:val="auto"/>
              </w:rPr>
              <w:t>2(e)</w:t>
            </w:r>
          </w:p>
        </w:tc>
        <w:tc>
          <w:tcPr>
            <w:tcW w:w="2900" w:type="dxa"/>
            <w:vAlign w:val="bottom"/>
          </w:tcPr>
          <w:p>
            <w:pPr>
              <w:ind w:left="160"/>
              <w:spacing w:after="0"/>
              <w:rPr>
                <w:sz w:val="20"/>
                <w:szCs w:val="20"/>
                <w:color w:val="auto"/>
              </w:rPr>
            </w:pPr>
            <w:r>
              <w:rPr>
                <w:rFonts w:ascii="Courier New" w:cs="Courier New" w:eastAsia="Courier New" w:hAnsi="Courier New"/>
                <w:sz w:val="18"/>
                <w:szCs w:val="18"/>
                <w:color w:val="auto"/>
              </w:rPr>
              <w:t>CUSIP Number:</w:t>
            </w:r>
          </w:p>
        </w:tc>
      </w:tr>
      <w:tr>
        <w:trPr>
          <w:trHeight w:val="234"/>
        </w:trPr>
        <w:tc>
          <w:tcPr>
            <w:tcW w:w="1540" w:type="dxa"/>
            <w:vAlign w:val="bottom"/>
            <w:gridSpan w:val="2"/>
          </w:tcPr>
          <w:p>
            <w:pPr>
              <w:jc w:val="right"/>
              <w:ind w:right="492"/>
              <w:spacing w:after="0"/>
              <w:rPr>
                <w:sz w:val="20"/>
                <w:szCs w:val="20"/>
                <w:color w:val="auto"/>
              </w:rPr>
            </w:pPr>
            <w:r>
              <w:rPr>
                <w:rFonts w:ascii="Courier New" w:cs="Courier New" w:eastAsia="Courier New" w:hAnsi="Courier New"/>
                <w:sz w:val="18"/>
                <w:szCs w:val="18"/>
                <w:color w:val="auto"/>
                <w:w w:val="96"/>
              </w:rPr>
              <w:t>269796108</w:t>
            </w:r>
          </w:p>
        </w:tc>
        <w:tc>
          <w:tcPr>
            <w:tcW w:w="2900" w:type="dxa"/>
            <w:vAlign w:val="bottom"/>
          </w:tcPr>
          <w:p>
            <w:pPr>
              <w:spacing w:after="0"/>
              <w:rPr>
                <w:sz w:val="20"/>
                <w:szCs w:val="20"/>
                <w:color w:val="auto"/>
              </w:rPr>
            </w:pPr>
          </w:p>
        </w:tc>
      </w:tr>
    </w:tbl>
    <w:p>
      <w:pPr>
        <w:spacing w:after="0" w:line="238" w:lineRule="auto"/>
        <w:rPr>
          <w:sz w:val="20"/>
          <w:szCs w:val="20"/>
          <w:color w:val="auto"/>
        </w:rPr>
      </w:pPr>
      <w:r>
        <w:rPr>
          <w:rFonts w:ascii="Courier New" w:cs="Courier New" w:eastAsia="Courier New" w:hAnsi="Courier New"/>
          <w:sz w:val="18"/>
          <w:szCs w:val="18"/>
          <w:color w:val="auto"/>
        </w:rPr>
        <w:t>Item 3. If this statement is filed pursuant to</w:t>
      </w:r>
    </w:p>
    <w:p>
      <w:pPr>
        <w:spacing w:after="0" w:line="238" w:lineRule="auto"/>
        <w:rPr>
          <w:sz w:val="20"/>
          <w:szCs w:val="20"/>
          <w:color w:val="auto"/>
        </w:rPr>
      </w:pPr>
      <w:r>
        <w:rPr>
          <w:rFonts w:ascii="Courier New" w:cs="Courier New" w:eastAsia="Courier New" w:hAnsi="Courier New"/>
          <w:sz w:val="18"/>
          <w:szCs w:val="18"/>
          <w:color w:val="auto"/>
        </w:rPr>
        <w:t>240.13d-1(b), or 240.13d-2(b) or (c), check</w:t>
      </w:r>
    </w:p>
    <w:p>
      <w:pPr>
        <w:spacing w:after="0"/>
        <w:rPr>
          <w:sz w:val="20"/>
          <w:szCs w:val="20"/>
          <w:color w:val="auto"/>
        </w:rPr>
      </w:pPr>
      <w:r>
        <w:rPr>
          <w:rFonts w:ascii="Courier New" w:cs="Courier New" w:eastAsia="Courier New" w:hAnsi="Courier New"/>
          <w:sz w:val="18"/>
          <w:szCs w:val="18"/>
          <w:color w:val="auto"/>
        </w:rPr>
        <w:t>whether the person filing is a:</w:t>
      </w:r>
    </w:p>
    <w:p>
      <w:pPr>
        <w:ind w:right="4979" w:firstLine="8"/>
        <w:spacing w:after="0" w:line="238" w:lineRule="auto"/>
        <w:tabs>
          <w:tab w:leader="none" w:pos="843"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Broker or dealer registered under section 15 of the Act (15 U.S.C.</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78o).</w:t>
      </w:r>
    </w:p>
    <w:p>
      <w:pPr>
        <w:ind w:right="4859" w:firstLine="8"/>
        <w:spacing w:after="0" w:line="238" w:lineRule="auto"/>
        <w:tabs>
          <w:tab w:leader="none" w:pos="843"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Bank as defined in section 3(a)(6) of the Act (15 U.S.C. 78c).</w:t>
      </w:r>
    </w:p>
    <w:p>
      <w:pPr>
        <w:ind w:right="5179" w:firstLine="8"/>
        <w:spacing w:after="0" w:line="238" w:lineRule="auto"/>
        <w:tabs>
          <w:tab w:leader="none" w:pos="843"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Insurance company as defined in section 3(a)(19) of the Act (15</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U.S.C. 78c).</w:t>
      </w:r>
    </w:p>
    <w:p>
      <w:pPr>
        <w:ind w:right="4759" w:firstLine="8"/>
        <w:spacing w:after="0" w:line="238" w:lineRule="auto"/>
        <w:tabs>
          <w:tab w:leader="none" w:pos="843"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Investment company registered under section 8 of the Investment Company</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Act (15 U.S.C. 80a-8).</w:t>
      </w:r>
    </w:p>
    <w:p>
      <w:pPr>
        <w:ind w:right="4759" w:firstLine="8"/>
        <w:spacing w:after="0" w:line="238" w:lineRule="auto"/>
        <w:tabs>
          <w:tab w:leader="none" w:pos="843"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An investment adviser in accordance with 240.13d-1(b)(1)(ii)(E).</w:t>
      </w:r>
    </w:p>
    <w:p>
      <w:pPr>
        <w:ind w:right="5599" w:firstLine="8"/>
        <w:spacing w:after="0" w:line="238" w:lineRule="auto"/>
        <w:tabs>
          <w:tab w:leader="none" w:pos="843"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An employee benefit plan or endowment fund in accordance with 240.13d-1(b)(ii)(F).</w:t>
      </w:r>
    </w:p>
    <w:p>
      <w:pPr>
        <w:ind w:right="4759" w:firstLine="8"/>
        <w:spacing w:after="0"/>
        <w:tabs>
          <w:tab w:leader="none" w:pos="843"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 parent holding company or control person in accordance with 240.13d-1(b)(1)(ii)(G).</w:t>
      </w:r>
    </w:p>
    <w:p>
      <w:pPr>
        <w:spacing w:after="0" w:line="199" w:lineRule="exact"/>
        <w:rPr>
          <w:rFonts w:ascii="Courier New" w:cs="Courier New" w:eastAsia="Courier New" w:hAnsi="Courier New"/>
          <w:sz w:val="18"/>
          <w:szCs w:val="18"/>
          <w:color w:val="auto"/>
        </w:rPr>
      </w:pPr>
    </w:p>
    <w:p>
      <w:pPr>
        <w:ind w:right="4759" w:firstLine="8"/>
        <w:spacing w:after="0" w:line="238" w:lineRule="auto"/>
        <w:tabs>
          <w:tab w:leader="none" w:pos="843"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 savings association as defined in Section 3(b) of the Federal Deposit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Insurance Act (12 U.S.C. 1813).</w:t>
      </w:r>
    </w:p>
    <w:p>
      <w:pPr>
        <w:ind w:right="4759" w:firstLine="8"/>
        <w:spacing w:after="0" w:line="238" w:lineRule="auto"/>
        <w:tabs>
          <w:tab w:leader="none" w:pos="843"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 church plan that is excluded from the definition of an investment</w:t>
      </w:r>
    </w:p>
    <w:p>
      <w:pPr>
        <w:ind w:right="6559"/>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company under section 3(c)(14) of the Investment Company Act of 1940 (15 U.S.C. 80a-3).</w:t>
      </w:r>
    </w:p>
    <w:p>
      <w:pPr>
        <w:ind w:right="4759" w:firstLine="8"/>
        <w:spacing w:after="0" w:line="309" w:lineRule="auto"/>
        <w:tabs>
          <w:tab w:leader="none" w:pos="843"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[x] Group, in accordance with 240.13d-1(b)(1)(ii)(J).</w:t>
      </w:r>
    </w:p>
    <w:p>
      <w:pPr>
        <w:spacing w:after="0" w:line="5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This statement is filed by Brandes</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Investment Partners, L.P., an investment</w:t>
      </w:r>
    </w:p>
    <w:p>
      <w:pPr>
        <w:spacing w:after="0" w:line="238" w:lineRule="auto"/>
        <w:rPr>
          <w:sz w:val="20"/>
          <w:szCs w:val="20"/>
          <w:color w:val="auto"/>
        </w:rPr>
      </w:pPr>
      <w:r>
        <w:rPr>
          <w:rFonts w:ascii="Courier New" w:cs="Courier New" w:eastAsia="Courier New" w:hAnsi="Courier New"/>
          <w:sz w:val="18"/>
          <w:szCs w:val="18"/>
          <w:color w:val="auto"/>
        </w:rPr>
        <w:t>adviser registered under the Investment</w:t>
      </w:r>
    </w:p>
    <w:p>
      <w:pPr>
        <w:spacing w:after="0" w:line="238" w:lineRule="auto"/>
        <w:rPr>
          <w:sz w:val="20"/>
          <w:szCs w:val="20"/>
          <w:color w:val="auto"/>
        </w:rPr>
      </w:pPr>
      <w:r>
        <w:rPr>
          <w:rFonts w:ascii="Courier New" w:cs="Courier New" w:eastAsia="Courier New" w:hAnsi="Courier New"/>
          <w:sz w:val="18"/>
          <w:szCs w:val="18"/>
          <w:color w:val="auto"/>
        </w:rPr>
        <w:t>Advisers Act of 1940, its control persons</w:t>
      </w:r>
    </w:p>
    <w:p>
      <w:pPr>
        <w:spacing w:after="0"/>
        <w:tabs>
          <w:tab w:leader="none" w:pos="2720" w:val="left"/>
        </w:tabs>
        <w:rPr>
          <w:sz w:val="20"/>
          <w:szCs w:val="20"/>
          <w:color w:val="auto"/>
        </w:rPr>
      </w:pPr>
      <w:r>
        <w:rPr>
          <w:rFonts w:ascii="Courier New" w:cs="Courier New" w:eastAsia="Courier New" w:hAnsi="Courier New"/>
          <w:sz w:val="18"/>
          <w:szCs w:val="18"/>
          <w:color w:val="auto"/>
        </w:rPr>
        <w:t>and its holding company.</w:t>
      </w:r>
      <w:r>
        <w:rPr>
          <w:sz w:val="20"/>
          <w:szCs w:val="20"/>
          <w:color w:val="auto"/>
        </w:rPr>
        <w:tab/>
      </w:r>
      <w:r>
        <w:rPr>
          <w:rFonts w:ascii="Courier New" w:cs="Courier New" w:eastAsia="Courier New" w:hAnsi="Courier New"/>
          <w:sz w:val="16"/>
          <w:szCs w:val="16"/>
          <w:color w:val="auto"/>
        </w:rPr>
        <w:t>(See, also,</w:t>
      </w:r>
    </w:p>
    <w:p>
      <w:pPr>
        <w:spacing w:after="0"/>
        <w:rPr>
          <w:sz w:val="20"/>
          <w:szCs w:val="20"/>
          <w:color w:val="auto"/>
        </w:rPr>
      </w:pPr>
      <w:r>
        <w:rPr>
          <w:rFonts w:ascii="Courier New" w:cs="Courier New" w:eastAsia="Courier New" w:hAnsi="Courier New"/>
          <w:sz w:val="18"/>
          <w:szCs w:val="18"/>
          <w:color w:val="auto"/>
        </w:rPr>
        <w:t>Exhibit A.)</w:t>
      </w:r>
    </w:p>
    <w:p>
      <w:pPr>
        <w:spacing w:after="0" w:line="370"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000" w:type="dxa"/>
            <w:vAlign w:val="bottom"/>
            <w:gridSpan w:val="2"/>
          </w:tcPr>
          <w:p>
            <w:pPr>
              <w:spacing w:after="0"/>
              <w:rPr>
                <w:sz w:val="20"/>
                <w:szCs w:val="20"/>
                <w:color w:val="auto"/>
              </w:rPr>
            </w:pPr>
            <w:r>
              <w:rPr>
                <w:rFonts w:ascii="Courier New" w:cs="Courier New" w:eastAsia="Courier New" w:hAnsi="Courier New"/>
                <w:sz w:val="18"/>
                <w:szCs w:val="18"/>
                <w:color w:val="auto"/>
              </w:rPr>
              <w:t>Item 4. Ownership:</w:t>
            </w:r>
          </w:p>
        </w:tc>
        <w:tc>
          <w:tcPr>
            <w:tcW w:w="1120" w:type="dxa"/>
            <w:vAlign w:val="bottom"/>
          </w:tcPr>
          <w:p>
            <w:pPr>
              <w:spacing w:after="0"/>
              <w:rPr>
                <w:sz w:val="17"/>
                <w:szCs w:val="17"/>
                <w:color w:val="auto"/>
              </w:rPr>
            </w:pPr>
          </w:p>
        </w:tc>
        <w:tc>
          <w:tcPr>
            <w:tcW w:w="20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0</w:t>
            </w:r>
          </w:p>
        </w:tc>
        <w:tc>
          <w:tcPr>
            <w:tcW w:w="0" w:type="dxa"/>
            <w:vAlign w:val="bottom"/>
          </w:tcPr>
          <w:p>
            <w:pPr>
              <w:spacing w:after="0"/>
              <w:rPr>
                <w:sz w:val="1"/>
                <w:szCs w:val="1"/>
                <w:color w:val="auto"/>
              </w:rPr>
            </w:pPr>
          </w:p>
        </w:tc>
      </w:tr>
      <w:tr>
        <w:trPr>
          <w:trHeight w:val="203"/>
        </w:trPr>
        <w:tc>
          <w:tcPr>
            <w:tcW w:w="580" w:type="dxa"/>
            <w:vAlign w:val="bottom"/>
          </w:tcPr>
          <w:p>
            <w:pPr>
              <w:spacing w:after="0" w:line="203" w:lineRule="exact"/>
              <w:rPr>
                <w:sz w:val="20"/>
                <w:szCs w:val="20"/>
                <w:color w:val="auto"/>
              </w:rPr>
            </w:pPr>
            <w:r>
              <w:rPr>
                <w:rFonts w:ascii="Courier New" w:cs="Courier New" w:eastAsia="Courier New" w:hAnsi="Courier New"/>
                <w:sz w:val="18"/>
                <w:szCs w:val="18"/>
                <w:color w:val="auto"/>
              </w:rPr>
              <w:t>(a)</w:t>
            </w:r>
          </w:p>
        </w:tc>
        <w:tc>
          <w:tcPr>
            <w:tcW w:w="3540" w:type="dxa"/>
            <w:vAlign w:val="bottom"/>
            <w:gridSpan w:val="2"/>
          </w:tcPr>
          <w:p>
            <w:pPr>
              <w:ind w:left="280"/>
              <w:spacing w:after="0" w:line="203" w:lineRule="exact"/>
              <w:rPr>
                <w:sz w:val="20"/>
                <w:szCs w:val="20"/>
                <w:color w:val="auto"/>
              </w:rPr>
            </w:pPr>
            <w:r>
              <w:rPr>
                <w:rFonts w:ascii="Courier New" w:cs="Courier New" w:eastAsia="Courier New" w:hAnsi="Courier New"/>
                <w:sz w:val="18"/>
                <w:szCs w:val="18"/>
                <w:color w:val="auto"/>
              </w:rPr>
              <w:t>Amount Beneficially Owned:</w:t>
            </w:r>
          </w:p>
        </w:tc>
        <w:tc>
          <w:tcPr>
            <w:tcW w:w="2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80" w:type="dxa"/>
            <w:vAlign w:val="bottom"/>
          </w:tcPr>
          <w:p>
            <w:pPr>
              <w:spacing w:after="0"/>
              <w:rPr>
                <w:sz w:val="20"/>
                <w:szCs w:val="20"/>
                <w:color w:val="auto"/>
              </w:rPr>
            </w:pPr>
            <w:r>
              <w:rPr>
                <w:rFonts w:ascii="Courier New" w:cs="Courier New" w:eastAsia="Courier New" w:hAnsi="Courier New"/>
                <w:sz w:val="18"/>
                <w:szCs w:val="18"/>
                <w:color w:val="auto"/>
              </w:rPr>
              <w:t>(b)</w:t>
            </w:r>
          </w:p>
        </w:tc>
        <w:tc>
          <w:tcPr>
            <w:tcW w:w="2420" w:type="dxa"/>
            <w:vAlign w:val="bottom"/>
          </w:tcPr>
          <w:p>
            <w:pPr>
              <w:ind w:left="280"/>
              <w:spacing w:after="0"/>
              <w:rPr>
                <w:sz w:val="20"/>
                <w:szCs w:val="20"/>
                <w:color w:val="auto"/>
              </w:rPr>
            </w:pPr>
            <w:r>
              <w:rPr>
                <w:rFonts w:ascii="Courier New" w:cs="Courier New" w:eastAsia="Courier New" w:hAnsi="Courier New"/>
                <w:sz w:val="18"/>
                <w:szCs w:val="18"/>
                <w:color w:val="auto"/>
              </w:rPr>
              <w:t>Percent of Class:</w:t>
            </w:r>
          </w:p>
        </w:tc>
        <w:tc>
          <w:tcPr>
            <w:tcW w:w="1120" w:type="dxa"/>
            <w:vAlign w:val="bottom"/>
          </w:tcPr>
          <w:p>
            <w:pPr>
              <w:jc w:val="right"/>
              <w:ind w:right="12"/>
              <w:spacing w:after="0"/>
              <w:rPr>
                <w:sz w:val="20"/>
                <w:szCs w:val="20"/>
                <w:color w:val="auto"/>
              </w:rPr>
            </w:pPr>
            <w:r>
              <w:rPr>
                <w:rFonts w:ascii="Courier New" w:cs="Courier New" w:eastAsia="Courier New" w:hAnsi="Courier New"/>
                <w:sz w:val="18"/>
                <w:szCs w:val="18"/>
                <w:color w:val="auto"/>
              </w:rPr>
              <w:t>0.00 %</w:t>
            </w: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ind w:right="5279" w:firstLine="8"/>
        <w:spacing w:after="0" w:line="238" w:lineRule="auto"/>
        <w:tabs>
          <w:tab w:leader="none" w:pos="843"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the joint filers have:</w:t>
      </w:r>
    </w:p>
    <w:p>
      <w:pPr>
        <w:ind w:left="860" w:hanging="852"/>
        <w:spacing w:after="0"/>
        <w:tabs>
          <w:tab w:leader="none" w:pos="86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vote or to direct the</w:t>
      </w: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vote:</w:t>
      </w:r>
      <w:r>
        <w:rPr>
          <w:rFonts w:ascii="Courier New" w:cs="Courier New" w:eastAsia="Courier New" w:hAnsi="Courier New"/>
          <w:sz w:val="16"/>
          <w:szCs w:val="16"/>
          <w:color w:val="auto"/>
        </w:rPr>
        <w:t>0</w:t>
      </w:r>
    </w:p>
    <w:p>
      <w:pPr>
        <w:ind w:left="860" w:hanging="852"/>
        <w:spacing w:after="0" w:line="238" w:lineRule="auto"/>
        <w:tabs>
          <w:tab w:leader="none" w:pos="86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 direct</w:t>
      </w:r>
    </w:p>
    <w:tbl>
      <w:tblPr>
        <w:tblLayout w:type="fixed"/>
        <w:tblInd w:w="0" w:type="dxa"/>
        <w:tblCellMar>
          <w:top w:w="0" w:type="dxa"/>
          <w:left w:w="0" w:type="dxa"/>
          <w:bottom w:w="0" w:type="dxa"/>
          <w:right w:w="0" w:type="dxa"/>
        </w:tblCellMar>
      </w:tblPr>
      <w:tr>
        <w:trPr>
          <w:trHeight w:val="203"/>
        </w:trPr>
        <w:tc>
          <w:tcPr>
            <w:tcW w:w="1320" w:type="dxa"/>
            <w:vAlign w:val="bottom"/>
          </w:tcPr>
          <w:p>
            <w:pPr>
              <w:spacing w:after="0" w:line="203" w:lineRule="exact"/>
              <w:rPr>
                <w:sz w:val="20"/>
                <w:szCs w:val="20"/>
                <w:color w:val="auto"/>
              </w:rPr>
            </w:pPr>
            <w:r>
              <w:rPr>
                <w:rFonts w:ascii="Courier New" w:cs="Courier New" w:eastAsia="Courier New" w:hAnsi="Courier New"/>
                <w:sz w:val="18"/>
                <w:szCs w:val="18"/>
                <w:color w:val="auto"/>
              </w:rPr>
              <w:t>the vote:</w:t>
            </w:r>
          </w:p>
        </w:tc>
        <w:tc>
          <w:tcPr>
            <w:tcW w:w="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w:t>
            </w:r>
          </w:p>
        </w:tc>
      </w:tr>
    </w:tbl>
    <w:p>
      <w:pPr>
        <w:ind w:right="6439" w:firstLine="8"/>
        <w:spacing w:after="0" w:line="309" w:lineRule="auto"/>
        <w:tabs>
          <w:tab w:leader="none" w:pos="843"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 direct the disposition of:</w:t>
      </w:r>
    </w:p>
    <w:p>
      <w:pPr>
        <w:sectPr>
          <w:pgSz w:w="11900" w:h="16865" w:orient="portrait"/>
          <w:cols w:equalWidth="0" w:num="1">
            <w:col w:w="10139"/>
          </w:cols>
          <w:pgMar w:left="320" w:top="312" w:right="1440" w:bottom="0" w:gutter="0" w:footer="0" w:header="0"/>
        </w:sectPr>
      </w:pPr>
    </w:p>
    <w:bookmarkStart w:id="6" w:name="page7"/>
    <w:bookmarkEnd w:id="6"/>
    <w:p>
      <w:pPr>
        <w:spacing w:after="0"/>
        <w:rPr>
          <w:sz w:val="20"/>
          <w:szCs w:val="20"/>
          <w:color w:val="auto"/>
        </w:rPr>
      </w:pPr>
      <w:r>
        <w:rPr>
          <w:rFonts w:ascii="Courier New" w:cs="Courier New" w:eastAsia="Courier New" w:hAnsi="Courier New"/>
          <w:sz w:val="18"/>
          <w:szCs w:val="18"/>
          <w:color w:val="auto"/>
        </w:rPr>
        <w:t>0</w:t>
      </w:r>
    </w:p>
    <w:p>
      <w:pPr>
        <w:spacing w:after="0" w:line="29" w:lineRule="exact"/>
        <w:rPr>
          <w:sz w:val="20"/>
          <w:szCs w:val="20"/>
          <w:color w:val="auto"/>
        </w:rPr>
      </w:pPr>
    </w:p>
    <w:p>
      <w:pPr>
        <w:ind w:left="860" w:hanging="852"/>
        <w:spacing w:after="0"/>
        <w:tabs>
          <w:tab w:leader="none" w:pos="86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w:t>
      </w: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direct the disposition of:0</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 Ownership of Five Percent or Less of a</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Class.</w:t>
      </w:r>
    </w:p>
    <w:p>
      <w:pPr>
        <w:spacing w:after="0" w:line="238" w:lineRule="auto"/>
        <w:rPr>
          <w:sz w:val="20"/>
          <w:szCs w:val="20"/>
          <w:color w:val="auto"/>
        </w:rPr>
      </w:pPr>
      <w:r>
        <w:rPr>
          <w:rFonts w:ascii="Courier New" w:cs="Courier New" w:eastAsia="Courier New" w:hAnsi="Courier New"/>
          <w:sz w:val="18"/>
          <w:szCs w:val="18"/>
          <w:color w:val="auto"/>
        </w:rPr>
        <w:t>If this statement is being filed to report</w:t>
      </w:r>
    </w:p>
    <w:p>
      <w:pPr>
        <w:spacing w:after="0" w:line="238" w:lineRule="auto"/>
        <w:rPr>
          <w:sz w:val="20"/>
          <w:szCs w:val="20"/>
          <w:color w:val="auto"/>
        </w:rPr>
      </w:pPr>
      <w:r>
        <w:rPr>
          <w:rFonts w:ascii="Courier New" w:cs="Courier New" w:eastAsia="Courier New" w:hAnsi="Courier New"/>
          <w:sz w:val="18"/>
          <w:szCs w:val="18"/>
          <w:color w:val="auto"/>
        </w:rPr>
        <w:t>the fact that as of the date hereof the</w:t>
      </w:r>
    </w:p>
    <w:p>
      <w:pPr>
        <w:spacing w:after="0"/>
        <w:rPr>
          <w:sz w:val="20"/>
          <w:szCs w:val="20"/>
          <w:color w:val="auto"/>
        </w:rPr>
      </w:pPr>
      <w:r>
        <w:rPr>
          <w:rFonts w:ascii="Courier New" w:cs="Courier New" w:eastAsia="Courier New" w:hAnsi="Courier New"/>
          <w:sz w:val="18"/>
          <w:szCs w:val="18"/>
          <w:color w:val="auto"/>
        </w:rPr>
        <w:t>reporting person has ceased to be the</w:t>
      </w:r>
    </w:p>
    <w:p>
      <w:pPr>
        <w:spacing w:after="0" w:line="238" w:lineRule="auto"/>
        <w:rPr>
          <w:sz w:val="20"/>
          <w:szCs w:val="20"/>
          <w:color w:val="auto"/>
        </w:rPr>
      </w:pPr>
      <w:r>
        <w:rPr>
          <w:rFonts w:ascii="Courier New" w:cs="Courier New" w:eastAsia="Courier New" w:hAnsi="Courier New"/>
          <w:sz w:val="18"/>
          <w:szCs w:val="18"/>
          <w:color w:val="auto"/>
        </w:rPr>
        <w:t>beneficial owner of more than five percent</w:t>
      </w:r>
    </w:p>
    <w:p>
      <w:pPr>
        <w:spacing w:after="0" w:line="238" w:lineRule="auto"/>
        <w:rPr>
          <w:sz w:val="20"/>
          <w:szCs w:val="20"/>
          <w:color w:val="auto"/>
        </w:rPr>
      </w:pPr>
      <w:r>
        <w:rPr>
          <w:rFonts w:ascii="Courier New" w:cs="Courier New" w:eastAsia="Courier New" w:hAnsi="Courier New"/>
          <w:sz w:val="18"/>
          <w:szCs w:val="18"/>
          <w:color w:val="auto"/>
        </w:rPr>
        <w:t>of the class securities, check the following</w:t>
      </w:r>
    </w:p>
    <w:p>
      <w:pPr>
        <w:spacing w:after="0" w:line="1" w:lineRule="exact"/>
        <w:rPr>
          <w:sz w:val="20"/>
          <w:szCs w:val="20"/>
          <w:color w:val="auto"/>
        </w:rPr>
      </w:pPr>
    </w:p>
    <w:p>
      <w:pPr>
        <w:ind w:left="420" w:hanging="412"/>
        <w:spacing w:after="0"/>
        <w:tabs>
          <w:tab w:leader="none" w:pos="42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Five Percent on</w:t>
      </w:r>
    </w:p>
    <w:p>
      <w:pPr>
        <w:spacing w:after="0" w:line="29" w:lineRule="exact"/>
        <w:rPr>
          <w:sz w:val="20"/>
          <w:szCs w:val="20"/>
          <w:color w:val="auto"/>
        </w:rPr>
      </w:pPr>
    </w:p>
    <w:p>
      <w:pPr>
        <w:spacing w:after="0"/>
        <w:tabs>
          <w:tab w:leader="none" w:pos="2940" w:val="left"/>
        </w:tabs>
        <w:rPr>
          <w:sz w:val="20"/>
          <w:szCs w:val="20"/>
          <w:color w:val="auto"/>
        </w:rPr>
      </w:pPr>
      <w:r>
        <w:rPr>
          <w:rFonts w:ascii="Courier New" w:cs="Courier New" w:eastAsia="Courier New" w:hAnsi="Courier New"/>
          <w:sz w:val="18"/>
          <w:szCs w:val="18"/>
          <w:color w:val="auto"/>
        </w:rPr>
        <w:t>Behalf of Another Person.</w:t>
      </w:r>
      <w:r>
        <w:rPr>
          <w:sz w:val="20"/>
          <w:szCs w:val="20"/>
          <w:color w:val="auto"/>
        </w:rPr>
        <w:tab/>
      </w:r>
      <w:r>
        <w:rPr>
          <w:rFonts w:ascii="Courier New" w:cs="Courier New" w:eastAsia="Courier New" w:hAnsi="Courier New"/>
          <w:sz w:val="16"/>
          <w:szCs w:val="16"/>
          <w:color w:val="auto"/>
        </w:rPr>
        <w:t>N/A</w:t>
      </w:r>
    </w:p>
    <w:p>
      <w:pPr>
        <w:spacing w:after="0" w:line="238" w:lineRule="auto"/>
        <w:rPr>
          <w:sz w:val="20"/>
          <w:szCs w:val="20"/>
          <w:color w:val="auto"/>
        </w:rPr>
      </w:pPr>
      <w:r>
        <w:rPr>
          <w:rFonts w:ascii="Courier New" w:cs="Courier New" w:eastAsia="Courier New" w:hAnsi="Courier New"/>
          <w:sz w:val="18"/>
          <w:szCs w:val="18"/>
          <w:color w:val="auto"/>
        </w:rPr>
        <w:t>Item 7. Identification and Classification of the</w:t>
      </w:r>
    </w:p>
    <w:p>
      <w:pPr>
        <w:spacing w:after="0" w:line="238" w:lineRule="auto"/>
        <w:rPr>
          <w:sz w:val="20"/>
          <w:szCs w:val="20"/>
          <w:color w:val="auto"/>
        </w:rPr>
      </w:pPr>
      <w:r>
        <w:rPr>
          <w:rFonts w:ascii="Courier New" w:cs="Courier New" w:eastAsia="Courier New" w:hAnsi="Courier New"/>
          <w:sz w:val="18"/>
          <w:szCs w:val="18"/>
          <w:color w:val="auto"/>
        </w:rPr>
        <w:t>Subsidiary Which Acquired the Security Being</w:t>
      </w:r>
    </w:p>
    <w:p>
      <w:pPr>
        <w:spacing w:after="0"/>
        <w:rPr>
          <w:sz w:val="20"/>
          <w:szCs w:val="20"/>
          <w:color w:val="auto"/>
        </w:rPr>
      </w:pPr>
      <w:r>
        <w:rPr>
          <w:rFonts w:ascii="Courier New" w:cs="Courier New" w:eastAsia="Courier New" w:hAnsi="Courier New"/>
          <w:sz w:val="18"/>
          <w:szCs w:val="18"/>
          <w:color w:val="auto"/>
        </w:rPr>
        <w:t>Reported on By the Parent Holding Company.</w:t>
      </w:r>
    </w:p>
    <w:p>
      <w:pPr>
        <w:ind w:left="3380"/>
        <w:spacing w:after="0" w:line="238" w:lineRule="auto"/>
        <w:rPr>
          <w:sz w:val="20"/>
          <w:szCs w:val="20"/>
          <w:color w:val="auto"/>
        </w:rPr>
      </w:pPr>
      <w:r>
        <w:rPr>
          <w:rFonts w:ascii="Courier New" w:cs="Courier New" w:eastAsia="Courier New" w:hAnsi="Courier New"/>
          <w:sz w:val="18"/>
          <w:szCs w:val="18"/>
          <w:color w:val="auto"/>
        </w:rPr>
        <w:t>N/A</w:t>
      </w:r>
    </w:p>
    <w:p>
      <w:pPr>
        <w:ind w:right="4659"/>
        <w:spacing w:after="0" w:line="238" w:lineRule="auto"/>
        <w:rPr>
          <w:sz w:val="20"/>
          <w:szCs w:val="20"/>
          <w:color w:val="auto"/>
        </w:rPr>
      </w:pPr>
      <w:r>
        <w:rPr>
          <w:rFonts w:ascii="Courier New" w:cs="Courier New" w:eastAsia="Courier New" w:hAnsi="Courier New"/>
          <w:sz w:val="18"/>
          <w:szCs w:val="18"/>
          <w:color w:val="auto"/>
        </w:rPr>
        <w:t>Item 8. Identification and Classification of Members of the Group.</w:t>
      </w:r>
    </w:p>
    <w:p>
      <w:pPr>
        <w:ind w:left="3380"/>
        <w:spacing w:after="0"/>
        <w:rPr>
          <w:sz w:val="20"/>
          <w:szCs w:val="20"/>
          <w:color w:val="auto"/>
        </w:rPr>
      </w:pPr>
      <w:r>
        <w:rPr>
          <w:rFonts w:ascii="Courier New" w:cs="Courier New" w:eastAsia="Courier New" w:hAnsi="Courier New"/>
          <w:sz w:val="18"/>
          <w:szCs w:val="18"/>
          <w:color w:val="auto"/>
        </w:rPr>
        <w:t>See Exhibit A</w:t>
      </w:r>
    </w:p>
    <w:p>
      <w:pPr>
        <w:spacing w:after="0" w:line="238" w:lineRule="auto"/>
        <w:rPr>
          <w:sz w:val="20"/>
          <w:szCs w:val="20"/>
          <w:color w:val="auto"/>
        </w:rPr>
      </w:pPr>
      <w:r>
        <w:rPr>
          <w:rFonts w:ascii="Courier New" w:cs="Courier New" w:eastAsia="Courier New" w:hAnsi="Courier New"/>
          <w:sz w:val="18"/>
          <w:szCs w:val="18"/>
          <w:color w:val="auto"/>
        </w:rPr>
        <w:t>Item 9. Notice of Dissolution of Group.</w:t>
      </w:r>
    </w:p>
    <w:p>
      <w:pPr>
        <w:ind w:left="3380"/>
        <w:spacing w:after="0" w:line="238" w:lineRule="auto"/>
        <w:rPr>
          <w:sz w:val="20"/>
          <w:szCs w:val="20"/>
          <w:color w:val="auto"/>
        </w:rPr>
      </w:pPr>
      <w:r>
        <w:rPr>
          <w:rFonts w:ascii="Courier New" w:cs="Courier New" w:eastAsia="Courier New" w:hAnsi="Courier New"/>
          <w:sz w:val="18"/>
          <w:szCs w:val="18"/>
          <w:color w:val="auto"/>
        </w:rPr>
        <w:t>N/A</w:t>
      </w:r>
    </w:p>
    <w:p>
      <w:pPr>
        <w:spacing w:after="0"/>
        <w:tabs>
          <w:tab w:leader="none" w:pos="1680" w:val="left"/>
        </w:tabs>
        <w:rPr>
          <w:sz w:val="20"/>
          <w:szCs w:val="20"/>
          <w:color w:val="auto"/>
        </w:rPr>
      </w:pPr>
      <w:r>
        <w:rPr>
          <w:rFonts w:ascii="Courier New" w:cs="Courier New" w:eastAsia="Courier New" w:hAnsi="Courier New"/>
          <w:sz w:val="18"/>
          <w:szCs w:val="18"/>
          <w:color w:val="auto"/>
        </w:rPr>
        <w:t>Item 10.</w:t>
      </w:r>
      <w:r>
        <w:rPr>
          <w:sz w:val="20"/>
          <w:szCs w:val="20"/>
          <w:color w:val="auto"/>
        </w:rPr>
        <w:tab/>
      </w:r>
      <w:r>
        <w:rPr>
          <w:rFonts w:ascii="Courier New" w:cs="Courier New" w:eastAsia="Courier New" w:hAnsi="Courier New"/>
          <w:sz w:val="16"/>
          <w:szCs w:val="16"/>
          <w:color w:val="auto"/>
        </w:rPr>
        <w:t>Certification:</w:t>
      </w:r>
    </w:p>
    <w:p>
      <w:pPr>
        <w:ind w:right="5499" w:firstLine="8"/>
        <w:spacing w:after="0" w:line="238" w:lineRule="auto"/>
        <w:tabs>
          <w:tab w:leader="none" w:pos="843"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following certification shall be included if the statement is filed pursuant to 240.13d-1(b):</w:t>
      </w:r>
    </w:p>
    <w:p>
      <w:pPr>
        <w:ind w:right="5919"/>
        <w:spacing w:after="0" w:line="27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and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9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31" w:lineRule="exact"/>
        <w:rPr>
          <w:sz w:val="20"/>
          <w:szCs w:val="20"/>
          <w:color w:val="auto"/>
        </w:rPr>
      </w:pPr>
    </w:p>
    <w:p>
      <w:pPr>
        <w:ind w:right="4659"/>
        <w:spacing w:after="0" w:line="261"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93"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Date:</w:t>
        <w:tab/>
        <w:t>November 5, 2024</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BRANDES INVESTMENT</w:t>
      </w:r>
    </w:p>
    <w:p>
      <w:pPr>
        <w:spacing w:after="0"/>
        <w:rPr>
          <w:sz w:val="20"/>
          <w:szCs w:val="20"/>
          <w:color w:val="auto"/>
        </w:rPr>
      </w:pPr>
      <w:r>
        <w:rPr>
          <w:rFonts w:ascii="Courier New" w:cs="Courier New" w:eastAsia="Courier New" w:hAnsi="Courier New"/>
          <w:sz w:val="18"/>
          <w:szCs w:val="18"/>
          <w:color w:val="auto"/>
        </w:rPr>
        <w:t>PARTNERS, L.P.</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Glenn Carlson</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Glenn Carlson,</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General Partner</w:t>
      </w:r>
    </w:p>
    <w:p>
      <w:pPr>
        <w:ind w:left="860"/>
        <w:spacing w:after="0" w:line="238" w:lineRule="auto"/>
        <w:rPr>
          <w:sz w:val="20"/>
          <w:szCs w:val="20"/>
          <w:color w:val="auto"/>
        </w:rPr>
      </w:pPr>
      <w:r>
        <w:rPr>
          <w:rFonts w:ascii="Courier New" w:cs="Courier New" w:eastAsia="Courier New" w:hAnsi="Courier New"/>
          <w:sz w:val="18"/>
          <w:szCs w:val="18"/>
          <w:color w:val="auto"/>
        </w:rPr>
        <w:t>CO-GP, LLC its</w:t>
      </w:r>
    </w:p>
    <w:p>
      <w:pPr>
        <w:spacing w:after="0"/>
        <w:rPr>
          <w:sz w:val="20"/>
          <w:szCs w:val="20"/>
          <w:color w:val="auto"/>
        </w:rPr>
      </w:pPr>
      <w:r>
        <w:rPr>
          <w:rFonts w:ascii="Courier New" w:cs="Courier New" w:eastAsia="Courier New" w:hAnsi="Courier New"/>
          <w:sz w:val="18"/>
          <w:szCs w:val="18"/>
          <w:color w:val="auto"/>
        </w:rPr>
        <w:t>General Partner</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CO-GP, LLC</w:t>
      </w:r>
    </w:p>
    <w:p>
      <w:pPr>
        <w:spacing w:after="0" w:line="201"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By:</w:t>
        <w:tab/>
        <w:t>/s/ Glenn Carlson</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Glenn Carlson,</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General Partner</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BRANDES WORLDWIDE</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HOLDINGS, L.P.</w:t>
      </w:r>
    </w:p>
    <w:p>
      <w:pPr>
        <w:spacing w:after="0" w:line="169"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By:</w:t>
        <w:tab/>
        <w:t>/s/ Glenn Carlson</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Glenn Carlson of CO-</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GP, LLC its General</w:t>
      </w:r>
    </w:p>
    <w:p>
      <w:pPr>
        <w:spacing w:after="0"/>
        <w:rPr>
          <w:sz w:val="20"/>
          <w:szCs w:val="20"/>
          <w:color w:val="auto"/>
        </w:rPr>
      </w:pPr>
      <w:r>
        <w:rPr>
          <w:rFonts w:ascii="Courier New" w:cs="Courier New" w:eastAsia="Courier New" w:hAnsi="Courier New"/>
          <w:sz w:val="18"/>
          <w:szCs w:val="18"/>
          <w:color w:val="auto"/>
        </w:rPr>
        <w:t>Partner</w:t>
      </w:r>
    </w:p>
    <w:p>
      <w:pPr>
        <w:spacing w:after="0" w:line="169"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By:</w:t>
        <w:tab/>
        <w:t>/s/ Glenn Carlson</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Glenn Carlson,</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Control Person</w:t>
      </w:r>
    </w:p>
    <w:p>
      <w:pPr>
        <w:sectPr>
          <w:pgSz w:w="11900" w:h="16838" w:orient="portrait"/>
          <w:cols w:equalWidth="0" w:num="1">
            <w:col w:w="10139"/>
          </w:cols>
          <w:pgMar w:left="320" w:top="110" w:right="1440" w:bottom="335" w:gutter="0" w:footer="0" w:header="0"/>
        </w:sectPr>
      </w:pPr>
    </w:p>
    <w:bookmarkStart w:id="7" w:name="page8"/>
    <w:bookmarkEnd w:id="7"/>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A</w:t>
      </w:r>
    </w:p>
    <w:p>
      <w:pPr>
        <w:spacing w:after="0" w:line="201" w:lineRule="exact"/>
        <w:rPr>
          <w:sz w:val="20"/>
          <w:szCs w:val="20"/>
          <w:color w:val="auto"/>
        </w:rPr>
      </w:pPr>
    </w:p>
    <w:p>
      <w:pPr>
        <w:ind w:right="4759"/>
        <w:spacing w:after="0" w:line="346" w:lineRule="auto"/>
        <w:rPr>
          <w:sz w:val="20"/>
          <w:szCs w:val="20"/>
          <w:color w:val="auto"/>
        </w:rPr>
      </w:pPr>
      <w:r>
        <w:rPr>
          <w:rFonts w:ascii="Courier New" w:cs="Courier New" w:eastAsia="Courier New" w:hAnsi="Courier New"/>
          <w:sz w:val="18"/>
          <w:szCs w:val="18"/>
          <w:color w:val="auto"/>
        </w:rPr>
        <w:t>Identification and Classification of Members of the Group</w:t>
      </w:r>
    </w:p>
    <w:p>
      <w:pPr>
        <w:spacing w:after="0" w:line="222" w:lineRule="exact"/>
        <w:rPr>
          <w:sz w:val="20"/>
          <w:szCs w:val="20"/>
          <w:color w:val="auto"/>
        </w:rPr>
      </w:pPr>
    </w:p>
    <w:p>
      <w:pPr>
        <w:ind w:right="4559"/>
        <w:spacing w:after="0" w:line="274" w:lineRule="auto"/>
        <w:rPr>
          <w:sz w:val="20"/>
          <w:szCs w:val="20"/>
          <w:color w:val="auto"/>
        </w:rPr>
      </w:pPr>
      <w:r>
        <w:rPr>
          <w:rFonts w:ascii="Courier New" w:cs="Courier New" w:eastAsia="Courier New" w:hAnsi="Courier New"/>
          <w:sz w:val="18"/>
          <w:szCs w:val="18"/>
          <w:color w:val="auto"/>
        </w:rPr>
        <w:t>Pursuant to Rule 13d-1(b)(ii)(J) and Rule 13d-1(k)(1) under the Securities and Exchange Act of 1934, the members of the group making this joint filing are identified and classified as follows:</w:t>
      </w:r>
    </w:p>
    <w:p>
      <w:pPr>
        <w:spacing w:after="0" w:line="8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Name</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Classification</w:t>
      </w:r>
    </w:p>
    <w:p>
      <w:pPr>
        <w:spacing w:after="0" w:line="238" w:lineRule="auto"/>
        <w:rPr>
          <w:sz w:val="20"/>
          <w:szCs w:val="20"/>
          <w:color w:val="auto"/>
        </w:rPr>
      </w:pPr>
      <w:r>
        <w:rPr>
          <w:rFonts w:ascii="Courier New" w:cs="Courier New" w:eastAsia="Courier New" w:hAnsi="Courier New"/>
          <w:sz w:val="18"/>
          <w:szCs w:val="18"/>
          <w:color w:val="auto"/>
        </w:rPr>
        <w:t>Brandes Investment Partners, L.P.</w:t>
      </w:r>
    </w:p>
    <w:p>
      <w:pPr>
        <w:spacing w:after="0" w:line="238" w:lineRule="auto"/>
        <w:rPr>
          <w:sz w:val="20"/>
          <w:szCs w:val="20"/>
          <w:color w:val="auto"/>
        </w:rPr>
      </w:pPr>
      <w:r>
        <w:rPr>
          <w:rFonts w:ascii="Courier New" w:cs="Courier New" w:eastAsia="Courier New" w:hAnsi="Courier New"/>
          <w:sz w:val="18"/>
          <w:szCs w:val="18"/>
          <w:color w:val="auto"/>
        </w:rPr>
        <w:t>(the Investment Adviser)</w:t>
      </w:r>
    </w:p>
    <w:p>
      <w:pPr>
        <w:spacing w:after="0"/>
        <w:rPr>
          <w:sz w:val="20"/>
          <w:szCs w:val="20"/>
          <w:color w:val="auto"/>
        </w:rPr>
      </w:pPr>
      <w:r>
        <w:rPr>
          <w:rFonts w:ascii="Courier New" w:cs="Courier New" w:eastAsia="Courier New" w:hAnsi="Courier New"/>
          <w:sz w:val="18"/>
          <w:szCs w:val="18"/>
          <w:color w:val="auto"/>
        </w:rPr>
        <w:t>Investment adviser registered under</w:t>
      </w:r>
    </w:p>
    <w:p>
      <w:pPr>
        <w:spacing w:after="0" w:line="238" w:lineRule="auto"/>
        <w:rPr>
          <w:sz w:val="20"/>
          <w:szCs w:val="20"/>
          <w:color w:val="auto"/>
        </w:rPr>
      </w:pPr>
      <w:r>
        <w:rPr>
          <w:rFonts w:ascii="Courier New" w:cs="Courier New" w:eastAsia="Courier New" w:hAnsi="Courier New"/>
          <w:sz w:val="18"/>
          <w:szCs w:val="18"/>
          <w:color w:val="auto"/>
        </w:rPr>
        <w:t>Investment Advisers Act of 1940</w:t>
      </w:r>
    </w:p>
    <w:p>
      <w:pPr>
        <w:spacing w:after="0" w:line="238" w:lineRule="auto"/>
        <w:rPr>
          <w:sz w:val="20"/>
          <w:szCs w:val="20"/>
          <w:color w:val="auto"/>
        </w:rPr>
      </w:pPr>
      <w:r>
        <w:rPr>
          <w:rFonts w:ascii="Courier New" w:cs="Courier New" w:eastAsia="Courier New" w:hAnsi="Courier New"/>
          <w:sz w:val="18"/>
          <w:szCs w:val="18"/>
          <w:color w:val="auto"/>
        </w:rPr>
        <w:t>Co-GP, LLC</w:t>
      </w:r>
    </w:p>
    <w:p>
      <w:pPr>
        <w:spacing w:after="0"/>
        <w:rPr>
          <w:sz w:val="20"/>
          <w:szCs w:val="20"/>
          <w:color w:val="auto"/>
        </w:rPr>
      </w:pPr>
      <w:r>
        <w:rPr>
          <w:rFonts w:ascii="Courier New" w:cs="Courier New" w:eastAsia="Courier New" w:hAnsi="Courier New"/>
          <w:sz w:val="18"/>
          <w:szCs w:val="18"/>
          <w:color w:val="auto"/>
        </w:rPr>
        <w:t>A control person of the Investment</w:t>
      </w:r>
    </w:p>
    <w:p>
      <w:pPr>
        <w:spacing w:after="0" w:line="238" w:lineRule="auto"/>
        <w:rPr>
          <w:sz w:val="20"/>
          <w:szCs w:val="20"/>
          <w:color w:val="auto"/>
        </w:rPr>
      </w:pPr>
      <w:r>
        <w:rPr>
          <w:rFonts w:ascii="Courier New" w:cs="Courier New" w:eastAsia="Courier New" w:hAnsi="Courier New"/>
          <w:sz w:val="18"/>
          <w:szCs w:val="18"/>
          <w:color w:val="auto"/>
        </w:rPr>
        <w:t>Adviser</w:t>
      </w:r>
    </w:p>
    <w:p>
      <w:pPr>
        <w:spacing w:after="0" w:line="238" w:lineRule="auto"/>
        <w:rPr>
          <w:sz w:val="20"/>
          <w:szCs w:val="20"/>
          <w:color w:val="auto"/>
        </w:rPr>
      </w:pPr>
      <w:r>
        <w:rPr>
          <w:rFonts w:ascii="Courier New" w:cs="Courier New" w:eastAsia="Courier New" w:hAnsi="Courier New"/>
          <w:sz w:val="18"/>
          <w:szCs w:val="18"/>
          <w:color w:val="auto"/>
        </w:rPr>
        <w:t>Brandes Worldwide Holdings, L.P.</w:t>
      </w:r>
    </w:p>
    <w:p>
      <w:pPr>
        <w:spacing w:after="0"/>
        <w:rPr>
          <w:sz w:val="20"/>
          <w:szCs w:val="20"/>
          <w:color w:val="auto"/>
        </w:rPr>
      </w:pPr>
      <w:r>
        <w:rPr>
          <w:rFonts w:ascii="Courier New" w:cs="Courier New" w:eastAsia="Courier New" w:hAnsi="Courier New"/>
          <w:sz w:val="18"/>
          <w:szCs w:val="18"/>
          <w:color w:val="auto"/>
        </w:rPr>
        <w:t>A control person of the Investment</w:t>
      </w:r>
    </w:p>
    <w:p>
      <w:pPr>
        <w:spacing w:after="0" w:line="238" w:lineRule="auto"/>
        <w:rPr>
          <w:sz w:val="20"/>
          <w:szCs w:val="20"/>
          <w:color w:val="auto"/>
        </w:rPr>
      </w:pPr>
      <w:r>
        <w:rPr>
          <w:rFonts w:ascii="Courier New" w:cs="Courier New" w:eastAsia="Courier New" w:hAnsi="Courier New"/>
          <w:sz w:val="18"/>
          <w:szCs w:val="18"/>
          <w:color w:val="auto"/>
        </w:rPr>
        <w:t>Adviser</w:t>
      </w:r>
    </w:p>
    <w:p>
      <w:pPr>
        <w:spacing w:after="0" w:line="238" w:lineRule="auto"/>
        <w:rPr>
          <w:sz w:val="20"/>
          <w:szCs w:val="20"/>
          <w:color w:val="auto"/>
        </w:rPr>
      </w:pPr>
      <w:r>
        <w:rPr>
          <w:rFonts w:ascii="Courier New" w:cs="Courier New" w:eastAsia="Courier New" w:hAnsi="Courier New"/>
          <w:sz w:val="18"/>
          <w:szCs w:val="18"/>
          <w:color w:val="auto"/>
        </w:rPr>
        <w:t>Glenn Carlson</w:t>
      </w:r>
    </w:p>
    <w:p>
      <w:pPr>
        <w:spacing w:after="0"/>
        <w:rPr>
          <w:sz w:val="20"/>
          <w:szCs w:val="20"/>
          <w:color w:val="auto"/>
        </w:rPr>
      </w:pPr>
      <w:r>
        <w:rPr>
          <w:rFonts w:ascii="Courier New" w:cs="Courier New" w:eastAsia="Courier New" w:hAnsi="Courier New"/>
          <w:sz w:val="18"/>
          <w:szCs w:val="18"/>
          <w:color w:val="auto"/>
        </w:rPr>
        <w:t>A control person of the Investment</w:t>
      </w:r>
    </w:p>
    <w:p>
      <w:pPr>
        <w:spacing w:after="0"/>
        <w:rPr>
          <w:sz w:val="20"/>
          <w:szCs w:val="20"/>
          <w:color w:val="auto"/>
        </w:rPr>
      </w:pPr>
      <w:r>
        <w:rPr>
          <w:rFonts w:ascii="Courier New" w:cs="Courier New" w:eastAsia="Courier New" w:hAnsi="Courier New"/>
          <w:sz w:val="18"/>
          <w:szCs w:val="18"/>
          <w:color w:val="auto"/>
        </w:rPr>
        <w:t>Adviser</w:t>
      </w: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B</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Joint Filing Agreement Pursuant to Rule 13d-1</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This agreement is made pursuant to Rule 13d-</w:t>
      </w:r>
    </w:p>
    <w:p>
      <w:pPr>
        <w:spacing w:after="0" w:line="31" w:lineRule="exact"/>
        <w:rPr>
          <w:sz w:val="20"/>
          <w:szCs w:val="20"/>
          <w:color w:val="auto"/>
        </w:rPr>
      </w:pPr>
    </w:p>
    <w:p>
      <w:pPr>
        <w:ind w:right="4559"/>
        <w:spacing w:after="0" w:line="278" w:lineRule="auto"/>
        <w:rPr>
          <w:sz w:val="20"/>
          <w:szCs w:val="20"/>
          <w:color w:val="auto"/>
        </w:rPr>
      </w:pPr>
      <w:r>
        <w:rPr>
          <w:rFonts w:ascii="Courier New" w:cs="Courier New" w:eastAsia="Courier New" w:hAnsi="Courier New"/>
          <w:sz w:val="16"/>
          <w:szCs w:val="16"/>
          <w:color w:val="auto"/>
        </w:rPr>
        <w:t>1(b)(ii)(J) and Rule 13d-1(k)(1) under the Securities and Exchange Act of 1934 (the Act) by and among the parties listed below, each referred to herein as a Joint Filer. The Joint Filers agree that a statement of beneficial ownership as required by Sections 13(g) or 13(d) of the Act and the Rules thereunder may be filed on each of their behalf on Schedule 13G or Schedule 13D, as appropriate, and that said joint filing may thereafter be amended by further joint filings. The Joint Filers state that they each satisfy the requirements for making a joint filing under Rule 13d-1.</w:t>
      </w:r>
    </w:p>
    <w:p>
      <w:pPr>
        <w:spacing w:after="0" w:line="200" w:lineRule="exact"/>
        <w:rPr>
          <w:sz w:val="20"/>
          <w:szCs w:val="20"/>
          <w:color w:val="auto"/>
        </w:rPr>
      </w:pPr>
    </w:p>
    <w:p>
      <w:pPr>
        <w:spacing w:after="0" w:line="294"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8"/>
          <w:szCs w:val="18"/>
          <w:color w:val="auto"/>
        </w:rPr>
        <w:t>Dated:</w:t>
        <w:tab/>
        <w:t>November 5, 2024</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BRANDES INVESTMENT</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PARTNERS, L.P.</w:t>
      </w:r>
    </w:p>
    <w:p>
      <w:pPr>
        <w:spacing w:after="0" w:line="169"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8"/>
          <w:szCs w:val="18"/>
          <w:color w:val="auto"/>
        </w:rPr>
        <w:t>/s/ Glenn Carlson</w:t>
      </w:r>
    </w:p>
    <w:p>
      <w:pPr>
        <w:spacing w:after="0" w:line="29"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Glenn Carlson,</w:t>
      </w:r>
    </w:p>
    <w:p>
      <w:pPr>
        <w:spacing w:after="0" w:line="238" w:lineRule="auto"/>
        <w:rPr>
          <w:sz w:val="20"/>
          <w:szCs w:val="20"/>
          <w:color w:val="auto"/>
        </w:rPr>
      </w:pPr>
      <w:r>
        <w:rPr>
          <w:rFonts w:ascii="Courier New" w:cs="Courier New" w:eastAsia="Courier New" w:hAnsi="Courier New"/>
          <w:sz w:val="18"/>
          <w:szCs w:val="18"/>
          <w:color w:val="auto"/>
        </w:rPr>
        <w:t>General Partner of</w:t>
      </w:r>
    </w:p>
    <w:p>
      <w:pPr>
        <w:ind w:left="860"/>
        <w:spacing w:after="0"/>
        <w:rPr>
          <w:sz w:val="20"/>
          <w:szCs w:val="20"/>
          <w:color w:val="auto"/>
        </w:rPr>
      </w:pPr>
      <w:r>
        <w:rPr>
          <w:rFonts w:ascii="Courier New" w:cs="Courier New" w:eastAsia="Courier New" w:hAnsi="Courier New"/>
          <w:sz w:val="18"/>
          <w:szCs w:val="18"/>
          <w:color w:val="auto"/>
        </w:rPr>
        <w:t>Co-GP, LLC.</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Co-GP, LLC.</w:t>
      </w:r>
    </w:p>
    <w:p>
      <w:pPr>
        <w:spacing w:after="0" w:line="29"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8"/>
          <w:szCs w:val="18"/>
          <w:color w:val="auto"/>
        </w:rPr>
        <w:t>/s/ Glenn Carlson</w:t>
      </w:r>
    </w:p>
    <w:p>
      <w:pPr>
        <w:ind w:left="860"/>
        <w:spacing w:after="0" w:line="238" w:lineRule="auto"/>
        <w:rPr>
          <w:sz w:val="20"/>
          <w:szCs w:val="20"/>
          <w:color w:val="auto"/>
        </w:rPr>
      </w:pPr>
      <w:r>
        <w:rPr>
          <w:rFonts w:ascii="Courier New" w:cs="Courier New" w:eastAsia="Courier New" w:hAnsi="Courier New"/>
          <w:sz w:val="18"/>
          <w:szCs w:val="18"/>
          <w:color w:val="auto"/>
        </w:rPr>
        <w:t>Glenn Carlson,</w:t>
      </w:r>
    </w:p>
    <w:p>
      <w:pPr>
        <w:spacing w:after="0"/>
        <w:rPr>
          <w:sz w:val="20"/>
          <w:szCs w:val="20"/>
          <w:color w:val="auto"/>
        </w:rPr>
      </w:pPr>
      <w:r>
        <w:rPr>
          <w:rFonts w:ascii="Courier New" w:cs="Courier New" w:eastAsia="Courier New" w:hAnsi="Courier New"/>
          <w:sz w:val="18"/>
          <w:szCs w:val="18"/>
          <w:color w:val="auto"/>
        </w:rPr>
        <w:t>General Partner</w:t>
      </w: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C</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Disclaimer of Beneficial Ownership</w:t>
      </w:r>
    </w:p>
    <w:p>
      <w:pPr>
        <w:spacing w:after="0" w:line="201" w:lineRule="exact"/>
        <w:rPr>
          <w:sz w:val="20"/>
          <w:szCs w:val="20"/>
          <w:color w:val="auto"/>
        </w:rPr>
      </w:pPr>
    </w:p>
    <w:p>
      <w:pPr>
        <w:ind w:right="4559"/>
        <w:spacing w:after="0" w:line="293" w:lineRule="auto"/>
        <w:rPr>
          <w:sz w:val="20"/>
          <w:szCs w:val="20"/>
          <w:color w:val="auto"/>
        </w:rPr>
      </w:pPr>
      <w:r>
        <w:rPr>
          <w:rFonts w:ascii="Courier New" w:cs="Courier New" w:eastAsia="Courier New" w:hAnsi="Courier New"/>
          <w:sz w:val="16"/>
          <w:szCs w:val="16"/>
          <w:color w:val="auto"/>
        </w:rPr>
        <w:t>Co-GP, LLC, Brandes Worldwide Holdings, L.P., and Glenn Carlson disclaim beneficial interest as to the shares referenced above, except for an amount equal to substantially less than one percent of the shares reported on this Schedule 13D. None of these entities or individuals holds the above-referenced shares for its/his own account except on a de minimis</w:t>
      </w:r>
    </w:p>
    <w:p>
      <w:pPr>
        <w:sectPr>
          <w:pgSz w:w="11900" w:h="16844" w:orient="portrait"/>
          <w:cols w:equalWidth="0" w:num="1">
            <w:col w:w="10139"/>
          </w:cols>
          <w:pgMar w:left="320" w:top="312" w:right="1440" w:bottom="0" w:gutter="0" w:footer="0" w:header="0"/>
        </w:sectPr>
      </w:pPr>
    </w:p>
    <w:bookmarkStart w:id="8" w:name="page9"/>
    <w:bookmarkEnd w:id="8"/>
    <w:p>
      <w:pPr>
        <w:spacing w:after="0"/>
        <w:rPr>
          <w:sz w:val="20"/>
          <w:szCs w:val="20"/>
          <w:color w:val="auto"/>
        </w:rPr>
      </w:pPr>
      <w:r>
        <w:rPr>
          <w:rFonts w:ascii="Courier New" w:cs="Courier New" w:eastAsia="Courier New" w:hAnsi="Courier New"/>
          <w:sz w:val="18"/>
          <w:szCs w:val="18"/>
          <w:color w:val="auto"/>
        </w:rPr>
        <w:t>basis.</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/s/Glenn Carlson</w:t>
      </w:r>
    </w:p>
    <w:p>
      <w:pPr>
        <w:spacing w:after="0" w:line="5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Glenn Carlson</w:t>
      </w:r>
    </w:p>
    <w:sectPr>
      <w:pgSz w:w="11900" w:h="16838" w:orient="portrait"/>
      <w:cols w:equalWidth="0" w:num="1">
        <w:col w:w="10139"/>
      </w:cols>
      <w:pgMar w:left="320" w:top="11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5BD062C2"/>
    <w:multiLevelType w:val="hybridMultilevel"/>
    <w:lvl w:ilvl="0">
      <w:lvlJc w:val="left"/>
      <w:lvlText w:val="[%1]"/>
      <w:numFmt w:val="lowerRoman"/>
      <w:start w:val="10"/>
    </w:lvl>
  </w:abstractNum>
  <w:abstractNum w:abstractNumId="1">
    <w:nsid w:val="12200854"/>
    <w:multiLevelType w:val="hybridMultilevel"/>
    <w:lvl w:ilvl="0">
      <w:lvlJc w:val="left"/>
      <w:lvlText w:val="*"/>
      <w:numFmt w:val="bullet"/>
      <w:start w:val="1"/>
    </w:lvl>
  </w:abstractNum>
  <w:abstractNum w:abstractNumId="2">
    <w:nsid w:val="4DB127F8"/>
    <w:multiLevelType w:val="hybridMultilevel"/>
    <w:lvl w:ilvl="0">
      <w:lvlJc w:val="left"/>
      <w:lvlText w:val="(%1)"/>
      <w:numFmt w:val="lowerLetter"/>
      <w:start w:val="1"/>
    </w:lvl>
  </w:abstractNum>
  <w:abstractNum w:abstractNumId="3">
    <w:nsid w:val="216231B"/>
    <w:multiLevelType w:val="hybridMultilevel"/>
    <w:lvl w:ilvl="0">
      <w:lvlJc w:val="left"/>
      <w:lvlText w:val="(%1)"/>
      <w:numFmt w:val="lowerLetter"/>
      <w:start w:val="1"/>
    </w:lvl>
  </w:abstractNum>
  <w:abstractNum w:abstractNumId="4">
    <w:nsid w:val="1F16E9E8"/>
    <w:multiLevelType w:val="hybridMultilevel"/>
    <w:lvl w:ilvl="0">
      <w:lvlJc w:val="left"/>
      <w:lvlText w:val="(%1)"/>
      <w:numFmt w:val="lowerLetter"/>
      <w:start w:val="1"/>
    </w:lvl>
  </w:abstractNum>
  <w:abstractNum w:abstractNumId="5">
    <w:nsid w:val="1190CDE7"/>
    <w:multiLevelType w:val="hybridMultilevel"/>
    <w:lvl w:ilvl="0">
      <w:lvlJc w:val="left"/>
      <w:lvlText w:val="(%1)"/>
      <w:numFmt w:val="lowerLetter"/>
      <w:start w:val="1"/>
    </w:lvl>
  </w:abstractNum>
  <w:abstractNum w:abstractNumId="6">
    <w:nsid w:val="66EF438D"/>
    <w:multiLevelType w:val="hybridMultilevel"/>
    <w:lvl w:ilvl="0">
      <w:lvlJc w:val="left"/>
      <w:lvlText w:val="(%1)"/>
      <w:numFmt w:val="lowerRoman"/>
      <w:start w:val="1"/>
    </w:lvl>
  </w:abstractNum>
  <w:abstractNum w:abstractNumId="7">
    <w:nsid w:val="140E0F76"/>
    <w:multiLevelType w:val="hybridMultilevel"/>
    <w:lvl w:ilvl="0">
      <w:lvlJc w:val="left"/>
      <w:lvlText w:val="(%1)"/>
      <w:numFmt w:val="lowerRoman"/>
      <w:start w:val="1"/>
    </w:lvl>
  </w:abstractNum>
  <w:abstractNum w:abstractNumId="8">
    <w:nsid w:val="3352255A"/>
    <w:multiLevelType w:val="hybridMultilevel"/>
    <w:lvl w:ilvl="0">
      <w:lvlJc w:val="left"/>
      <w:lvlText w:val="(%1)"/>
      <w:numFmt w:val="lowerRoman"/>
      <w:start w:val="4"/>
    </w:lvl>
  </w:abstractNum>
  <w:abstractNum w:abstractNumId="9">
    <w:nsid w:val="109CF92E"/>
    <w:multiLevelType w:val="hybridMultilevel"/>
    <w:lvl w:ilvl="0">
      <w:lvlJc w:val="left"/>
      <w:lvlText w:val="(%1)"/>
      <w:numFmt w:val="lowerRoman"/>
      <w:start w:val="1"/>
    </w:lvl>
  </w:abstractNum>
  <w:abstractNum w:abstractNumId="10">
    <w:nsid w:val="DED7263"/>
    <w:multiLevelType w:val="hybridMultilevel"/>
    <w:lvl w:ilvl="0">
      <w:lvlJc w:val="left"/>
      <w:lvlText w:val="(%1)"/>
      <w:numFmt w:val="lowerLetter"/>
      <w:start w:val="1"/>
    </w:lvl>
  </w:abstractNum>
  <w:abstractNum w:abstractNumId="11">
    <w:nsid w:val="7FDCC233"/>
    <w:multiLevelType w:val="hybridMultilevel"/>
    <w:lvl w:ilvl="0">
      <w:lvlJc w:val="left"/>
      <w:lvlText w:val="(%1)"/>
      <w:numFmt w:val="lowerLetter"/>
      <w:start w:val="3"/>
    </w:lvl>
  </w:abstractNum>
  <w:abstractNum w:abstractNumId="12">
    <w:nsid w:val="1BEFD79F"/>
    <w:multiLevelType w:val="hybridMultilevel"/>
    <w:lvl w:ilvl="0">
      <w:lvlJc w:val="left"/>
      <w:lvlText w:val="(%1)"/>
      <w:numFmt w:val="lowerRoman"/>
      <w:start w:val="1"/>
    </w:lvl>
  </w:abstractNum>
  <w:abstractNum w:abstractNumId="13">
    <w:nsid w:val="41A7C4C9"/>
    <w:multiLevelType w:val="hybridMultilevel"/>
    <w:lvl w:ilvl="0">
      <w:lvlJc w:val="left"/>
      <w:lvlText w:val="(%1)"/>
      <w:numFmt w:val="lowerRoman"/>
      <w:start w:val="3"/>
    </w:lvl>
  </w:abstractNum>
  <w:abstractNum w:abstractNumId="14">
    <w:nsid w:val="6B68079A"/>
    <w:multiLevelType w:val="hybridMultilevel"/>
    <w:lvl w:ilvl="0">
      <w:lvlJc w:val="left"/>
      <w:lvlText w:val="(%1)"/>
      <w:numFmt w:val="lowerRoman"/>
      <w:start w:val="4"/>
    </w:lvl>
  </w:abstractNum>
  <w:abstractNum w:abstractNumId="15">
    <w:nsid w:val="4E6AFB66"/>
    <w:multiLevelType w:val="hybridMultilevel"/>
    <w:lvl w:ilvl="0">
      <w:lvlJc w:val="left"/>
      <w:lvlText w:val="?."/>
      <w:numFmt w:val="bullet"/>
      <w:start w:val="1"/>
    </w:lvl>
  </w:abstractNum>
  <w:abstractNum w:abstractNumId="16">
    <w:nsid w:val="25E45D32"/>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2024-11-14T10:44:11Z</dcterms:created>
  <dcterms:modified xsi:type="dcterms:W3CDTF">2024-11-14T10:44:11Z</dcterms:modified>
</cp:coreProperties>
</file>